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160" w:line="240" w:lineRule="auto"/>
        <w:jc w:val="center"/>
      </w:pPr>
      <w:r>
        <w:rPr>
          <w:rFonts w:ascii="Arial" w:hAnsi="Arial"/>
          <w:b/>
          <w:color w:val="174C3B"/>
          <w:sz w:val="48"/>
        </w:rPr>
        <w:t>CitaFácil</w:t>
      </w:r>
    </w:p>
    <w:p>
      <w:pPr>
        <w:spacing w:before="0" w:after="360" w:line="240" w:lineRule="auto"/>
        <w:jc w:val="center"/>
      </w:pPr>
      <w:r>
        <w:rPr>
          <w:rFonts w:ascii="Arial" w:hAnsi="Arial"/>
          <w:color w:val="236952"/>
          <w:sz w:val="28"/>
        </w:rPr>
        <w:t>Sistema móvil y web para gestionar citas</w:t>
      </w:r>
    </w:p>
    <w:p>
      <w:pPr>
        <w:spacing w:before="0" w:after="80" w:line="240" w:lineRule="auto"/>
        <w:jc w:val="center"/>
      </w:pPr>
      <w:r>
        <w:rPr>
          <w:rFonts w:ascii="Arial" w:hAnsi="Arial"/>
          <w:b/>
          <w:color w:val="000000"/>
          <w:sz w:val="22"/>
        </w:rPr>
        <w:t>Curso: Desarrollo de Aplicaciones Móviles I</w:t>
      </w:r>
    </w:p>
    <w:p>
      <w:pPr>
        <w:spacing w:before="0" w:after="440" w:line="240" w:lineRule="auto"/>
        <w:jc w:val="center"/>
      </w:pPr>
      <w:r>
        <w:rPr>
          <w:rFonts w:ascii="Arial" w:hAnsi="Arial"/>
          <w:color w:val="000000"/>
          <w:sz w:val="22"/>
        </w:rPr>
        <w:t>Producto académico · Prototipo funcional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36952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Dato</w:t>
            </w:r>
          </w:p>
        </w:tc>
        <w:tc>
          <w:tcPr>
            <w:tcW w:type="dxa" w:w="4703"/>
            <w:shd w:fill="236952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Información</w:t>
            </w:r>
          </w:p>
        </w:tc>
      </w:tr>
      <w:tr>
        <w:tc>
          <w:tcPr>
            <w:tcW w:type="dxa" w:w="4703"/>
            <w:shd w:fill="FFFFFF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Docente</w:t>
            </w:r>
          </w:p>
        </w:tc>
        <w:tc>
          <w:tcPr>
            <w:tcW w:type="dxa" w:w="4703"/>
            <w:shd w:fill="FFFFFF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</w:tr>
      <w:tr>
        <w:tc>
          <w:tcPr>
            <w:tcW w:type="dxa" w:w="4703"/>
            <w:shd w:fill="F2F6F1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Ciclo / sección</w:t>
            </w:r>
          </w:p>
        </w:tc>
        <w:tc>
          <w:tcPr>
            <w:tcW w:type="dxa" w:w="4703"/>
            <w:shd w:fill="F2F6F1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</w:tr>
      <w:tr>
        <w:tc>
          <w:tcPr>
            <w:tcW w:type="dxa" w:w="4703"/>
            <w:shd w:fill="FFFFFF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Semestre académico</w:t>
            </w:r>
          </w:p>
        </w:tc>
        <w:tc>
          <w:tcPr>
            <w:tcW w:type="dxa" w:w="4703"/>
            <w:shd w:fill="FFFFFF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</w:tr>
      <w:tr>
        <w:tc>
          <w:tcPr>
            <w:tcW w:type="dxa" w:w="4703"/>
            <w:shd w:fill="F2F6F1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Coordinador</w:t>
            </w:r>
          </w:p>
        </w:tc>
        <w:tc>
          <w:tcPr>
            <w:tcW w:type="dxa" w:w="4703"/>
            <w:shd w:fill="F2F6F1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</w:tr>
      <w:tr>
        <w:tc>
          <w:tcPr>
            <w:tcW w:type="dxa" w:w="4703"/>
            <w:shd w:fill="FFFFFF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Integrantes</w:t>
            </w:r>
          </w:p>
        </w:tc>
        <w:tc>
          <w:tcPr>
            <w:tcW w:type="dxa" w:w="4703"/>
            <w:shd w:fill="FFFFFF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[COMPLETAR NOMBRES]</w:t>
            </w:r>
          </w:p>
        </w:tc>
      </w:tr>
      <w:tr>
        <w:tc>
          <w:tcPr>
            <w:tcW w:type="dxa" w:w="4703"/>
            <w:shd w:fill="F2F6F1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Fecha de entrega</w:t>
            </w:r>
          </w:p>
        </w:tc>
        <w:tc>
          <w:tcPr>
            <w:tcW w:type="dxa" w:w="4703"/>
            <w:shd w:fill="F2F6F1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21 de septiembre de 2026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80" w:line="240" w:lineRule="auto"/>
        <w:jc w:val="center"/>
      </w:pPr>
      <w:r>
        <w:rPr>
          <w:rFonts w:ascii="Arial" w:hAnsi="Arial"/>
          <w:i/>
          <w:color w:val="000000"/>
          <w:sz w:val="22"/>
        </w:rPr>
        <w:t>Documento editable. Completar los campos entre corchetes con la información real del equipo antes de presentarlo.</w:t>
      </w:r>
    </w:p>
    <w:p>
      <w:r>
        <w:br w:type="page"/>
      </w:r>
    </w:p>
    <w:p>
      <w:pPr>
        <w:spacing w:before="200" w:after="80" w:line="240" w:lineRule="auto"/>
      </w:pPr>
      <w:r>
        <w:rPr>
          <w:rFonts w:ascii="Arial" w:hAnsi="Arial"/>
          <w:b/>
          <w:color w:val="000000"/>
          <w:sz w:val="28"/>
        </w:rPr>
        <w:t>1. Resumen</w:t>
      </w:r>
    </w:p>
    <w:p>
      <w:pPr>
        <w:spacing w:before="0" w:after="80" w:line="240" w:lineRule="auto"/>
      </w:pPr>
      <w:r>
        <w:rPr>
          <w:rFonts w:ascii="Arial" w:hAnsi="Arial"/>
          <w:color w:val="000000"/>
          <w:sz w:val="22"/>
        </w:rPr>
        <w:t>CitaFácil es un prototipo académico para gestionar citas desde una aplicación Android y un portal web administrativo. El paciente crea una cuenta, consulta servicios, profesionales y horarios, registra una solicitud, la puede consultar, editar o cancelar, y trabaja con una cola local cuando no tiene conectividad. El portal permite administrar roles, usuarios, servicios, profesionales, horarios, citas y sesiones.</w:t>
      </w:r>
    </w:p>
    <w:p>
      <w:pPr>
        <w:spacing w:before="0" w:after="80" w:line="240" w:lineRule="auto"/>
      </w:pPr>
      <w:r>
        <w:rPr>
          <w:rFonts w:ascii="Arial" w:hAnsi="Arial"/>
          <w:color w:val="000000"/>
          <w:sz w:val="22"/>
        </w:rPr>
        <w:t>La solución fue construida con Java y XML en Android Studio, SQLite en el dispositivo, una API REST en JavaScript y Cloudflare Workers con D1 como base de datos remota. Aplica aislamiento por usuario, sesiones con token, contraseñas derivadas con PBKDF2, validación de origen para mutaciones y consultas parametrizadas. El alcance es demostrativo: los profesionales y servicios son ficticios y no se procesan historias clínicas.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36952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Indicador de verificación</w:t>
            </w:r>
          </w:p>
        </w:tc>
        <w:tc>
          <w:tcPr>
            <w:tcW w:type="dxa" w:w="4703"/>
            <w:shd w:fill="236952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4703"/>
            <w:shd w:fill="FFFFFF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API publicada</w:t>
            </w:r>
          </w:p>
        </w:tc>
        <w:tc>
          <w:tcPr>
            <w:tcW w:type="dxa" w:w="4703"/>
            <w:shd w:fill="FFFFFF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https://citafacil.jaguar009.workers.dev</w:t>
            </w:r>
          </w:p>
        </w:tc>
      </w:tr>
      <w:tr>
        <w:tc>
          <w:tcPr>
            <w:tcW w:type="dxa" w:w="4703"/>
            <w:shd w:fill="F2F6F1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Pruebas backend</w:t>
            </w:r>
          </w:p>
        </w:tc>
        <w:tc>
          <w:tcPr>
            <w:tcW w:type="dxa" w:w="4703"/>
            <w:shd w:fill="F2F6F1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4 suites automatizadas aprobadas</w:t>
            </w:r>
          </w:p>
        </w:tc>
      </w:tr>
      <w:tr>
        <w:tc>
          <w:tcPr>
            <w:tcW w:type="dxa" w:w="4703"/>
            <w:shd w:fill="FFFFFF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Build Android</w:t>
            </w:r>
          </w:p>
        </w:tc>
        <w:tc>
          <w:tcPr>
            <w:tcW w:type="dxa" w:w="4703"/>
            <w:shd w:fill="FFFFFF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assembleDebug y testDebugUnitTest aprobados</w:t>
            </w:r>
          </w:p>
        </w:tc>
      </w:tr>
      <w:tr>
        <w:tc>
          <w:tcPr>
            <w:tcW w:type="dxa" w:w="4703"/>
            <w:shd w:fill="F2F6F1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Emulador</w:t>
            </w:r>
          </w:p>
        </w:tc>
        <w:tc>
          <w:tcPr>
            <w:tcW w:type="dxa" w:w="4703"/>
            <w:shd w:fill="F2F6F1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Pixel 10 Pro XL, Android API 37</w:t>
            </w:r>
          </w:p>
        </w:tc>
      </w:tr>
      <w:tr>
        <w:tc>
          <w:tcPr>
            <w:tcW w:type="dxa" w:w="4703"/>
            <w:shd w:fill="FFFFFF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Datos remotos de demo</w:t>
            </w:r>
          </w:p>
        </w:tc>
        <w:tc>
          <w:tcPr>
            <w:tcW w:type="dxa" w:w="4703"/>
            <w:shd w:fill="FFFFFF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3 servicios, 3 profesionales, horarios futuros</w:t>
            </w:r>
          </w:p>
        </w:tc>
      </w:tr>
    </w:tbl>
    <w:p>
      <w:pPr>
        <w:spacing w:before="200" w:after="80" w:line="240" w:lineRule="auto"/>
      </w:pPr>
      <w:r>
        <w:rPr>
          <w:rFonts w:ascii="Arial" w:hAnsi="Arial"/>
          <w:b/>
          <w:color w:val="000000"/>
          <w:sz w:val="28"/>
        </w:rPr>
        <w:t>2. Introducción</w:t>
      </w:r>
    </w:p>
    <w:p>
      <w:pPr>
        <w:spacing w:before="0" w:after="80" w:line="240" w:lineRule="auto"/>
      </w:pPr>
      <w:r>
        <w:rPr>
          <w:rFonts w:ascii="Arial" w:hAnsi="Arial"/>
          <w:color w:val="000000"/>
          <w:sz w:val="22"/>
        </w:rPr>
        <w:t>La gestión de citas por teléfono o mensajería puede dejar información dispersa: el usuario no siempre conserva el horario elegido y el personal necesita revisar manualmente disponibilidad y estados. CitaFácil plantea un flujo pequeño y trazable para un contexto académico: catálogo de atención, horarios, solicitudes de paciente y panel administrativo.</w:t>
      </w:r>
    </w:p>
    <w:p>
      <w:pPr>
        <w:spacing w:before="0" w:after="80" w:line="240" w:lineRule="auto"/>
      </w:pPr>
      <w:r>
        <w:rPr>
          <w:rFonts w:ascii="Arial" w:hAnsi="Arial"/>
          <w:color w:val="000000"/>
          <w:sz w:val="22"/>
        </w:rPr>
        <w:t>El informe documenta el diagnóstico, objetivos, alcance, productos, decisiones de diseño, datos, API, pruebas y evidencias. Se distingue lo implementado y probado de lo que quedaría para una fase productiva, como notificaciones, integración con una agenda clínica real y controles de privacidad sectoriales.</w:t>
      </w:r>
    </w:p>
    <w:p>
      <w:pPr>
        <w:spacing w:before="200" w:after="80" w:line="240" w:lineRule="auto"/>
      </w:pPr>
      <w:r>
        <w:rPr>
          <w:rFonts w:ascii="Arial" w:hAnsi="Arial"/>
          <w:b/>
          <w:color w:val="000000"/>
          <w:sz w:val="28"/>
        </w:rPr>
        <w:t>3. Diagnóstico SEPTE</w:t>
      </w:r>
    </w:p>
    <w:p>
      <w:pPr>
        <w:spacing w:before="0" w:after="80" w:line="240" w:lineRule="auto"/>
      </w:pPr>
      <w:r>
        <w:rPr>
          <w:rFonts w:ascii="Arial" w:hAnsi="Arial"/>
          <w:color w:val="000000"/>
          <w:sz w:val="22"/>
        </w:rPr>
        <w:t>El diagnóstico usa fuentes públicas y separa datos externos de interpretaciones del equipo. Las referencias se colocan como notas al pie para que el lector pueda verificarlas.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36952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Dimensión</w:t>
            </w:r>
          </w:p>
        </w:tc>
        <w:tc>
          <w:tcPr>
            <w:tcW w:type="dxa" w:w="3135"/>
            <w:shd w:fill="236952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Situación observada</w:t>
            </w:r>
          </w:p>
        </w:tc>
        <w:tc>
          <w:tcPr>
            <w:tcW w:type="dxa" w:w="3135"/>
            <w:shd w:fill="236952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Implicación para CitaFácil</w:t>
            </w:r>
          </w:p>
        </w:tc>
      </w:tr>
      <w:tr>
        <w:tc>
          <w:tcPr>
            <w:tcW w:type="dxa" w:w="3135"/>
            <w:shd w:fill="FFFFFF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Social</w:t>
            </w:r>
          </w:p>
        </w:tc>
        <w:tc>
          <w:tcPr>
            <w:tcW w:type="dxa" w:w="3135"/>
            <w:shd w:fill="FFFFFF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El acceso a internet no es uniforme. El INEI reportó 62,7 % de hogares con conexión en el primer trimestre de 2026 y diferencias entre Lima Metropolitana, otras zonas urbanas y el área rural.</w:t>
            </w:r>
            <w:r>
              <w:footnoteReference w:id="1"/>
            </w:r>
          </w:p>
        </w:tc>
        <w:tc>
          <w:tcPr>
            <w:tcW w:type="dxa" w:w="3135"/>
            <w:shd w:fill="FFFFFF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La app muestra información guardada y permite registrar una solicitud sin depender de conexión permanente.</w:t>
            </w:r>
          </w:p>
        </w:tc>
      </w:tr>
      <w:tr>
        <w:tc>
          <w:tcPr>
            <w:tcW w:type="dxa" w:w="3135"/>
            <w:shd w:fill="F2F6F1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Tecnológica</w:t>
            </w:r>
          </w:p>
        </w:tc>
        <w:tc>
          <w:tcPr>
            <w:tcW w:type="dxa" w:w="3135"/>
            <w:shd w:fill="F2F6F1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El curso exige Android, API REST y base en hosting gratuito. Android aporta SQLite local; la API centraliza disponibilidad y estados.</w:t>
            </w:r>
          </w:p>
        </w:tc>
        <w:tc>
          <w:tcPr>
            <w:tcW w:type="dxa" w:w="3135"/>
            <w:shd w:fill="F2F6F1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Se separan presentación, datos y lógica. La cola local reduce pérdida de trabajo ante desconexión.</w:t>
            </w:r>
          </w:p>
        </w:tc>
      </w:tr>
      <w:tr>
        <w:tc>
          <w:tcPr>
            <w:tcW w:type="dxa" w:w="3135"/>
            <w:shd w:fill="FFFFFF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Económica</w:t>
            </w:r>
          </w:p>
        </w:tc>
        <w:tc>
          <w:tcPr>
            <w:tcW w:type="dxa" w:w="3135"/>
            <w:shd w:fill="FFFFFF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Workers y D1 publican precios y límites; el prototipo puede iniciar con costo bajo, aunque una operación real debe presupuestar consumo, dominio, monitoreo y soporte.</w:t>
            </w:r>
            <w:r>
              <w:footnoteReference w:id="2"/>
            </w:r>
          </w:p>
        </w:tc>
        <w:tc>
          <w:tcPr>
            <w:tcW w:type="dxa" w:w="3135"/>
            <w:shd w:fill="FFFFFF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La arquitectura es adecuada para aprendizaje y deja identificados costos que no deben ocultarse en producción.</w:t>
            </w:r>
          </w:p>
        </w:tc>
      </w:tr>
      <w:tr>
        <w:tc>
          <w:tcPr>
            <w:tcW w:type="dxa" w:w="3135"/>
            <w:shd w:fill="F2F6F1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Política / institucional</w:t>
            </w:r>
          </w:p>
        </w:tc>
        <w:tc>
          <w:tcPr>
            <w:tcW w:type="dxa" w:w="3135"/>
            <w:shd w:fill="F2F6F1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El encargo solicita aplicativo móvil conectado a web, CRUD y defensa con evidencia. Una institución real debe definir responsables, horarios, estados y políticas.</w:t>
            </w:r>
          </w:p>
        </w:tc>
        <w:tc>
          <w:tcPr>
            <w:tcW w:type="dxa" w:w="3135"/>
            <w:shd w:fill="F2F6F1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El portal usa roles y estados explícitos para que el flujo no dependa de cambios manuales.</w:t>
            </w:r>
          </w:p>
        </w:tc>
      </w:tr>
      <w:tr>
        <w:tc>
          <w:tcPr>
            <w:tcW w:type="dxa" w:w="3135"/>
            <w:shd w:fill="FFFFFF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Ecológica</w:t>
            </w:r>
          </w:p>
        </w:tc>
        <w:tc>
          <w:tcPr>
            <w:tcW w:type="dxa" w:w="3135"/>
            <w:shd w:fill="FFFFFF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Digitalizar la solicitud puede reducir impresiones y traslados para preguntar por disponibilidad; es un beneficio esperado, no una medición ambiental.</w:t>
            </w:r>
          </w:p>
        </w:tc>
        <w:tc>
          <w:tcPr>
            <w:tcW w:type="dxa" w:w="3135"/>
            <w:shd w:fill="FFFFFF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Se propone medirlo en una futura prueba piloto.</w:t>
            </w:r>
          </w:p>
        </w:tc>
      </w:tr>
    </w:tbl>
    <w:p>
      <w:pPr>
        <w:spacing w:before="0" w:after="80" w:line="240" w:lineRule="auto"/>
      </w:pPr>
      <w:r>
        <w:rPr>
          <w:rFonts w:ascii="Arial" w:hAnsi="Arial"/>
          <w:color w:val="000000"/>
          <w:sz w:val="22"/>
        </w:rPr>
        <w:t>El contexto institucional de las citas digitales confirma que reservar y consultar una cita es un proceso de servicio diferenciado, no solo un formulario. EsSalud describe canales y pasos específicos para solicitar una cita, referencia útil para separar el rol del paciente del administrativo.</w:t>
      </w:r>
      <w:r>
        <w:footnoteReference w:id="3"/>
      </w:r>
    </w:p>
    <w:p>
      <w:pPr>
        <w:spacing w:before="200" w:after="80" w:line="240" w:lineRule="auto"/>
      </w:pPr>
      <w:r>
        <w:rPr>
          <w:rFonts w:ascii="Arial" w:hAnsi="Arial"/>
          <w:b/>
          <w:color w:val="000000"/>
          <w:sz w:val="28"/>
        </w:rPr>
        <w:t>4. Objetivos SMART</w:t>
      </w:r>
    </w:p>
    <w:p>
      <w:pPr>
        <w:pStyle w:val="ListNumber"/>
        <w:spacing w:before="0" w:after="40" w:line="240" w:lineRule="auto"/>
      </w:pPr>
      <w:r>
        <w:rPr>
          <w:rFonts w:ascii="Arial" w:hAnsi="Arial"/>
          <w:color w:val="000000"/>
          <w:sz w:val="22"/>
        </w:rPr>
        <w:t>Implementar, para la entrega final del curso, un prototipo Android que permita a un paciente autenticado consultar el catálogo y registrar, editar, cancelar y eliminar localmente sus solicitudes, con persistencia SQLite y validación.</w:t>
      </w:r>
    </w:p>
    <w:p>
      <w:pPr>
        <w:pStyle w:val="ListNumber"/>
        <w:spacing w:before="0" w:after="40" w:line="240" w:lineRule="auto"/>
      </w:pPr>
      <w:r>
        <w:rPr>
          <w:rFonts w:ascii="Arial" w:hAnsi="Arial"/>
          <w:color w:val="000000"/>
          <w:sz w:val="22"/>
        </w:rPr>
        <w:t>Implementar y publicar, para la defensa, una API REST con autenticación, catálogo, citas y administración CRUD, de forma que pruebas automatizadas cubran aislamiento, idempotencia, conflicto de horario, cancelación y estados.</w:t>
      </w:r>
    </w:p>
    <w:p>
      <w:pPr>
        <w:pStyle w:val="ListNumber"/>
        <w:spacing w:before="0" w:after="40" w:line="240" w:lineRule="auto"/>
      </w:pPr>
      <w:r>
        <w:rPr>
          <w:rFonts w:ascii="Arial" w:hAnsi="Arial"/>
          <w:color w:val="000000"/>
          <w:sz w:val="22"/>
        </w:rPr>
        <w:t>Entregar documentación y evidencias reproducibles para explicar arquitectura, modelo, casos de uso, flujo de reserva y una demostración de tres a cinco minutos.</w:t>
      </w:r>
    </w:p>
    <w:p>
      <w:pPr>
        <w:spacing w:before="200" w:after="80" w:line="240" w:lineRule="auto"/>
      </w:pPr>
      <w:r>
        <w:rPr>
          <w:rFonts w:ascii="Arial" w:hAnsi="Arial"/>
          <w:b/>
          <w:color w:val="000000"/>
          <w:sz w:val="28"/>
        </w:rPr>
        <w:t>5. Justificación y beneficiarios</w:t>
      </w:r>
    </w:p>
    <w:p>
      <w:pPr>
        <w:spacing w:before="0" w:after="80" w:line="240" w:lineRule="auto"/>
      </w:pPr>
      <w:r>
        <w:rPr>
          <w:rFonts w:ascii="Arial" w:hAnsi="Arial"/>
          <w:color w:val="000000"/>
          <w:sz w:val="22"/>
        </w:rPr>
        <w:t>La propuesta convierte un problema cotidiano de coordinación en un ejercicio completo de desarrollo móvil: interfaz, persistencia local, consumo de servicios, concurrencia, seguridad básica y administración web. También demuestra el requisito pedagógico de trabajar por capas y con una base central.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36952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Beneficiario</w:t>
            </w:r>
          </w:p>
        </w:tc>
        <w:tc>
          <w:tcPr>
            <w:tcW w:type="dxa" w:w="4703"/>
            <w:shd w:fill="236952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Beneficio esperado</w:t>
            </w:r>
          </w:p>
        </w:tc>
      </w:tr>
      <w:tr>
        <w:tc>
          <w:tcPr>
            <w:tcW w:type="dxa" w:w="4703"/>
            <w:shd w:fill="FFFFFF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Paciente</w:t>
            </w:r>
          </w:p>
        </w:tc>
        <w:tc>
          <w:tcPr>
            <w:tcW w:type="dxa" w:w="4703"/>
            <w:shd w:fill="FFFFFF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Consulta horarios y conserva su solicitud aunque la conexión falle temporalmente.</w:t>
            </w:r>
          </w:p>
        </w:tc>
      </w:tr>
      <w:tr>
        <w:tc>
          <w:tcPr>
            <w:tcW w:type="dxa" w:w="4703"/>
            <w:shd w:fill="F2F6F1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Personal administrativo</w:t>
            </w:r>
          </w:p>
        </w:tc>
        <w:tc>
          <w:tcPr>
            <w:tcW w:type="dxa" w:w="4703"/>
            <w:shd w:fill="F2F6F1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Administra catálogos, horarios, usuarios y estados desde un panel.</w:t>
            </w:r>
          </w:p>
        </w:tc>
      </w:tr>
      <w:tr>
        <w:tc>
          <w:tcPr>
            <w:tcW w:type="dxa" w:w="4703"/>
            <w:shd w:fill="FFFFFF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Equipo de estudiantes</w:t>
            </w:r>
          </w:p>
        </w:tc>
        <w:tc>
          <w:tcPr>
            <w:tcW w:type="dxa" w:w="4703"/>
            <w:shd w:fill="FFFFFF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Practica Android, Java, XML, REST, SQLite, validación y pruebas.</w:t>
            </w:r>
          </w:p>
        </w:tc>
      </w:tr>
      <w:tr>
        <w:tc>
          <w:tcPr>
            <w:tcW w:type="dxa" w:w="4703"/>
            <w:shd w:fill="F2F6F1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Docente / evaluador</w:t>
            </w:r>
          </w:p>
        </w:tc>
        <w:tc>
          <w:tcPr>
            <w:tcW w:type="dxa" w:w="4703"/>
            <w:shd w:fill="F2F6F1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Cuenta con trazabilidad entre requisitos, código, pruebas y artefactos.</w:t>
            </w:r>
          </w:p>
        </w:tc>
      </w:tr>
    </w:tbl>
    <w:p>
      <w:pPr>
        <w:spacing w:before="200" w:after="80" w:line="240" w:lineRule="auto"/>
      </w:pPr>
      <w:r>
        <w:rPr>
          <w:rFonts w:ascii="Arial" w:hAnsi="Arial"/>
          <w:b/>
          <w:color w:val="000000"/>
          <w:sz w:val="28"/>
        </w:rPr>
        <w:t>6. Definición y alcance</w:t>
      </w:r>
    </w:p>
    <w:p>
      <w:pPr>
        <w:spacing w:before="0" w:after="80" w:line="240" w:lineRule="auto"/>
      </w:pPr>
      <w:r>
        <w:rPr>
          <w:rFonts w:ascii="Arial" w:hAnsi="Arial"/>
          <w:color w:val="000000"/>
          <w:sz w:val="22"/>
        </w:rPr>
        <w:t>Incluye: registro e inicio de sesión; sesión persistente cifrada en Android Keystore; consulta de servicios, profesionales y horarios; creación, edición, cancelación y ocultamiento local de citas; cola de sincronización; API REST; base D1; panel web administrativo; CRUD de tablas de negocio; filtros, roles y estados; pruebas automatizadas y documentación.</w:t>
      </w:r>
    </w:p>
    <w:p>
      <w:pPr>
        <w:spacing w:before="0" w:after="80" w:line="240" w:lineRule="auto"/>
      </w:pPr>
      <w:r>
        <w:rPr>
          <w:rFonts w:ascii="Arial" w:hAnsi="Arial"/>
          <w:color w:val="000000"/>
          <w:sz w:val="22"/>
        </w:rPr>
        <w:t>No incluye: diagnóstico médico, historia clínica, pagos, receta, notificaciones SMS o correo, integración con calendarios institucionales, multi-sede, recuperación de contraseña, despliegue en Play Store ni garantía de operación clínica. Los datos son ficticios.</w:t>
      </w:r>
    </w:p>
    <w:p>
      <w:pPr>
        <w:spacing w:before="200" w:after="80" w:line="240" w:lineRule="auto"/>
      </w:pPr>
      <w:r>
        <w:rPr>
          <w:rFonts w:ascii="Arial" w:hAnsi="Arial"/>
          <w:b/>
          <w:color w:val="000000"/>
          <w:sz w:val="28"/>
        </w:rPr>
        <w:t>7. Productos y entregables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36952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Entregable</w:t>
            </w:r>
          </w:p>
        </w:tc>
        <w:tc>
          <w:tcPr>
            <w:tcW w:type="dxa" w:w="3135"/>
            <w:shd w:fill="236952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Contenido</w:t>
            </w:r>
          </w:p>
        </w:tc>
        <w:tc>
          <w:tcPr>
            <w:tcW w:type="dxa" w:w="3135"/>
            <w:shd w:fill="236952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Criterio de aceptación</w:t>
            </w:r>
          </w:p>
        </w:tc>
      </w:tr>
      <w:tr>
        <w:tc>
          <w:tcPr>
            <w:tcW w:type="dxa" w:w="3135"/>
            <w:shd w:fill="FFFFFF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E1 Análisis</w:t>
            </w:r>
          </w:p>
        </w:tc>
        <w:tc>
          <w:tcPr>
            <w:tcW w:type="dxa" w:w="3135"/>
            <w:shd w:fill="FFFFFF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Problema, SEPTE, objetivos, alcance, actores y requisitos.</w:t>
            </w:r>
          </w:p>
        </w:tc>
        <w:tc>
          <w:tcPr>
            <w:tcW w:type="dxa" w:w="3135"/>
            <w:shd w:fill="FFFFFF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Documento revisable con campos del equipo completos.</w:t>
            </w:r>
          </w:p>
        </w:tc>
      </w:tr>
      <w:tr>
        <w:tc>
          <w:tcPr>
            <w:tcW w:type="dxa" w:w="3135"/>
            <w:shd w:fill="F2F6F1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E2 Diseño</w:t>
            </w:r>
          </w:p>
        </w:tc>
        <w:tc>
          <w:tcPr>
            <w:tcW w:type="dxa" w:w="3135"/>
            <w:shd w:fill="F2F6F1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Modelo lógico/físico, ER, flujos, mockups y reglas.</w:t>
            </w:r>
          </w:p>
        </w:tc>
        <w:tc>
          <w:tcPr>
            <w:tcW w:type="dxa" w:w="3135"/>
            <w:shd w:fill="F2F6F1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Cada requisito se relaciona con pantalla o endpoint.</w:t>
            </w:r>
          </w:p>
        </w:tc>
      </w:tr>
      <w:tr>
        <w:tc>
          <w:tcPr>
            <w:tcW w:type="dxa" w:w="3135"/>
            <w:shd w:fill="FFFFFF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E3 Implementación</w:t>
            </w:r>
          </w:p>
        </w:tc>
        <w:tc>
          <w:tcPr>
            <w:tcW w:type="dxa" w:w="3135"/>
            <w:shd w:fill="FFFFFF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APK, API publicada, D1, panel admin y scripts.</w:t>
            </w:r>
          </w:p>
        </w:tc>
        <w:tc>
          <w:tcPr>
            <w:tcW w:type="dxa" w:w="3135"/>
            <w:shd w:fill="FFFFFF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Build, endpoint de salud y pruebas exitosas.</w:t>
            </w:r>
          </w:p>
        </w:tc>
      </w:tr>
      <w:tr>
        <w:tc>
          <w:tcPr>
            <w:tcW w:type="dxa" w:w="3135"/>
            <w:shd w:fill="F2F6F1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E4 Integración</w:t>
            </w:r>
          </w:p>
        </w:tc>
        <w:tc>
          <w:tcPr>
            <w:tcW w:type="dxa" w:w="3135"/>
            <w:shd w:fill="F2F6F1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SQLite, outbox, sincronización, autenticación y validaciones.</w:t>
            </w:r>
          </w:p>
        </w:tc>
        <w:tc>
          <w:tcPr>
            <w:tcW w:type="dxa" w:w="3135"/>
            <w:shd w:fill="F2F6F1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La reserva no se pierde al trabajar offline.</w:t>
            </w:r>
          </w:p>
        </w:tc>
      </w:tr>
      <w:tr>
        <w:tc>
          <w:tcPr>
            <w:tcW w:type="dxa" w:w="3135"/>
            <w:shd w:fill="FFFFFF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E5 Sustentación</w:t>
            </w:r>
          </w:p>
        </w:tc>
        <w:tc>
          <w:tcPr>
            <w:tcW w:type="dxa" w:w="3135"/>
            <w:shd w:fill="FFFFFF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Informe, manual, matriz y video de 3–5 min.</w:t>
            </w:r>
          </w:p>
        </w:tc>
        <w:tc>
          <w:tcPr>
            <w:tcW w:type="dxa" w:w="3135"/>
            <w:shd w:fill="FFFFFF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La demo muestra el flujo y declara datos ficticios.</w:t>
            </w:r>
          </w:p>
        </w:tc>
      </w:tr>
    </w:tbl>
    <w:p>
      <w:pPr>
        <w:spacing w:before="0" w:after="80" w:line="240" w:lineRule="auto"/>
      </w:pPr>
      <w:r>
        <w:rPr>
          <w:rFonts w:ascii="Arial" w:hAnsi="Arial"/>
          <w:color w:val="000000"/>
          <w:sz w:val="22"/>
        </w:rPr>
        <w:t>El video se divide en: contexto y arquitectura (0:00–0:40), registro/login (0:40–1:10), reserva y persistencia local (1:10–2:00), sincronización (2:00–2:40), panel admin y CRUD (2:40–3:40), pruebas, límites y cierre (3:40–4:30).</w:t>
      </w:r>
    </w:p>
    <w:p>
      <w:pPr>
        <w:spacing w:before="200" w:after="80" w:line="240" w:lineRule="auto"/>
      </w:pPr>
      <w:r>
        <w:rPr>
          <w:rFonts w:ascii="Arial" w:hAnsi="Arial"/>
          <w:b/>
          <w:color w:val="000000"/>
          <w:sz w:val="28"/>
        </w:rPr>
        <w:t>8. Diseño de la solución</w:t>
      </w:r>
    </w:p>
    <w:p>
      <w:pPr>
        <w:spacing w:before="0" w:after="80" w:line="240" w:lineRule="auto"/>
      </w:pPr>
      <w:r>
        <w:rPr>
          <w:rFonts w:ascii="Arial" w:hAnsi="Arial"/>
          <w:color w:val="000000"/>
          <w:sz w:val="22"/>
        </w:rPr>
        <w:t>La solución se organiza en capas. La presentación Android contiene LoginActivity, MainActivity, layouts XML y AppointmentAdapter. La lógica contiene AppointmentValidator y SyncManager. Datos incluye DatabaseHelper, SessionStore y ApiClient. En el servidor, worker.mjs enruta, api.mjs ejecuta casos de uso, security.mjs gestiona sesiones y D1 persiste entidades.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36952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Capa</w:t>
            </w:r>
          </w:p>
        </w:tc>
        <w:tc>
          <w:tcPr>
            <w:tcW w:type="dxa" w:w="3135"/>
            <w:shd w:fill="236952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Responsabilidad</w:t>
            </w:r>
          </w:p>
        </w:tc>
        <w:tc>
          <w:tcPr>
            <w:tcW w:type="dxa" w:w="3135"/>
            <w:shd w:fill="236952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Artefactos principales</w:t>
            </w:r>
          </w:p>
        </w:tc>
      </w:tr>
      <w:tr>
        <w:tc>
          <w:tcPr>
            <w:tcW w:type="dxa" w:w="3135"/>
            <w:shd w:fill="FFFFFF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Presentación</w:t>
            </w:r>
          </w:p>
        </w:tc>
        <w:tc>
          <w:tcPr>
            <w:tcW w:type="dxa" w:w="3135"/>
            <w:shd w:fill="FFFFFF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Mostrar datos, recibir acciones y feedback.</w:t>
            </w:r>
          </w:p>
        </w:tc>
        <w:tc>
          <w:tcPr>
            <w:tcW w:type="dxa" w:w="3135"/>
            <w:shd w:fill="FFFFFF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activity_login.xml, activity_main.xml, item_appointment.xml</w:t>
            </w:r>
          </w:p>
        </w:tc>
      </w:tr>
      <w:tr>
        <w:tc>
          <w:tcPr>
            <w:tcW w:type="dxa" w:w="3135"/>
            <w:shd w:fill="F2F6F1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Dominio / lógica</w:t>
            </w:r>
          </w:p>
        </w:tc>
        <w:tc>
          <w:tcPr>
            <w:tcW w:type="dxa" w:w="3135"/>
            <w:shd w:fill="F2F6F1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Validar y sincronizar cambios.</w:t>
            </w:r>
          </w:p>
        </w:tc>
        <w:tc>
          <w:tcPr>
            <w:tcW w:type="dxa" w:w="3135"/>
            <w:shd w:fill="F2F6F1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AppointmentValidator.java, SyncManager.java</w:t>
            </w:r>
          </w:p>
        </w:tc>
      </w:tr>
      <w:tr>
        <w:tc>
          <w:tcPr>
            <w:tcW w:type="dxa" w:w="3135"/>
            <w:shd w:fill="FFFFFF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Datos móvil</w:t>
            </w:r>
          </w:p>
        </w:tc>
        <w:tc>
          <w:tcPr>
            <w:tcW w:type="dxa" w:w="3135"/>
            <w:shd w:fill="FFFFFF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Persistir catálogo, borradores y cola.</w:t>
            </w:r>
          </w:p>
        </w:tc>
        <w:tc>
          <w:tcPr>
            <w:tcW w:type="dxa" w:w="3135"/>
            <w:shd w:fill="FFFFFF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DatabaseHelper.java, SessionStore.java</w:t>
            </w:r>
          </w:p>
        </w:tc>
      </w:tr>
      <w:tr>
        <w:tc>
          <w:tcPr>
            <w:tcW w:type="dxa" w:w="3135"/>
            <w:shd w:fill="F2F6F1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Datos remotos</w:t>
            </w:r>
          </w:p>
        </w:tc>
        <w:tc>
          <w:tcPr>
            <w:tcW w:type="dxa" w:w="3135"/>
            <w:shd w:fill="F2F6F1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Autenticar, reservar y administrar.</w:t>
            </w:r>
          </w:p>
        </w:tc>
        <w:tc>
          <w:tcPr>
            <w:tcW w:type="dxa" w:w="3135"/>
            <w:shd w:fill="F2F6F1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api.mjs, security.mjs, 0001_citafacil.sql</w:t>
            </w:r>
          </w:p>
        </w:tc>
      </w:tr>
      <w:tr>
        <w:tc>
          <w:tcPr>
            <w:tcW w:type="dxa" w:w="3135"/>
            <w:shd w:fill="FFFFFF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Web</w:t>
            </w:r>
          </w:p>
        </w:tc>
        <w:tc>
          <w:tcPr>
            <w:tcW w:type="dxa" w:w="3135"/>
            <w:shd w:fill="FFFFFF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Operar el backoffice con controles y filtros.</w:t>
            </w:r>
          </w:p>
        </w:tc>
        <w:tc>
          <w:tcPr>
            <w:tcW w:type="dxa" w:w="3135"/>
            <w:shd w:fill="FFFFFF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admin.html, admin.js, app.css</w:t>
            </w:r>
          </w:p>
        </w:tc>
      </w:tr>
    </w:tbl>
    <w:p>
      <w:pPr>
        <w:spacing w:before="0" w:after="80" w:line="240" w:lineRule="auto"/>
      </w:pPr>
      <w:r>
        <w:rPr>
          <w:rFonts w:ascii="Arial" w:hAnsi="Arial"/>
          <w:color w:val="000000"/>
          <w:sz w:val="22"/>
        </w:rPr>
        <w:t>Flujo principal: el paciente elige servicio, profesional y horario; SQLite guarda una solicitud con client_id; SyncManager la envía por POST cuando hay conexión; el servidor confirma disponibilidad con una restricción única; después la app descarga el estado remoto y actualiza catálogo.</w:t>
      </w:r>
    </w:p>
    <w:p>
      <w:pPr>
        <w:spacing w:before="200" w:after="80" w:line="240" w:lineRule="auto"/>
      </w:pPr>
      <w:r>
        <w:rPr>
          <w:rFonts w:ascii="Arial" w:hAnsi="Arial"/>
          <w:b/>
          <w:color w:val="000000"/>
          <w:sz w:val="28"/>
        </w:rPr>
        <w:t>9. Modelo de datos y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36952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Entidad</w:t>
            </w:r>
          </w:p>
        </w:tc>
        <w:tc>
          <w:tcPr>
            <w:tcW w:type="dxa" w:w="3135"/>
            <w:shd w:fill="236952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Campos esenciales</w:t>
            </w:r>
          </w:p>
        </w:tc>
        <w:tc>
          <w:tcPr>
            <w:tcW w:type="dxa" w:w="3135"/>
            <w:shd w:fill="236952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Regla relevante</w:t>
            </w:r>
          </w:p>
        </w:tc>
      </w:tr>
      <w:tr>
        <w:tc>
          <w:tcPr>
            <w:tcW w:type="dxa" w:w="3135"/>
            <w:shd w:fill="FFFFFF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roles</w:t>
            </w:r>
          </w:p>
        </w:tc>
        <w:tc>
          <w:tcPr>
            <w:tcW w:type="dxa" w:w="3135"/>
            <w:shd w:fill="FFFFFF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id, name, kind</w:t>
            </w:r>
          </w:p>
        </w:tc>
        <w:tc>
          <w:tcPr>
            <w:tcW w:type="dxa" w:w="3135"/>
            <w:shd w:fill="FFFFFF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Paciente y Administrador son roles semilla.</w:t>
            </w:r>
          </w:p>
        </w:tc>
      </w:tr>
      <w:tr>
        <w:tc>
          <w:tcPr>
            <w:tcW w:type="dxa" w:w="3135"/>
            <w:shd w:fill="F2F6F1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users</w:t>
            </w:r>
          </w:p>
        </w:tc>
        <w:tc>
          <w:tcPr>
            <w:tcW w:type="dxa" w:w="3135"/>
            <w:shd w:fill="F2F6F1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id, name, email, password_hash, salt, role_id, active</w:t>
            </w:r>
          </w:p>
        </w:tc>
        <w:tc>
          <w:tcPr>
            <w:tcW w:type="dxa" w:w="3135"/>
            <w:shd w:fill="F2F6F1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El correo es único y la contraseña nunca se guarda en claro.</w:t>
            </w:r>
          </w:p>
        </w:tc>
      </w:tr>
      <w:tr>
        <w:tc>
          <w:tcPr>
            <w:tcW w:type="dxa" w:w="3135"/>
            <w:shd w:fill="FFFFFF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services</w:t>
            </w:r>
          </w:p>
        </w:tc>
        <w:tc>
          <w:tcPr>
            <w:tcW w:type="dxa" w:w="3135"/>
            <w:shd w:fill="FFFFFF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id, name, description, active</w:t>
            </w:r>
          </w:p>
        </w:tc>
        <w:tc>
          <w:tcPr>
            <w:tcW w:type="dxa" w:w="3135"/>
            <w:shd w:fill="FFFFFF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Solo servicios activos aparecen en catálogo.</w:t>
            </w:r>
          </w:p>
        </w:tc>
      </w:tr>
      <w:tr>
        <w:tc>
          <w:tcPr>
            <w:tcW w:type="dxa" w:w="3135"/>
            <w:shd w:fill="F2F6F1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professionals</w:t>
            </w:r>
          </w:p>
        </w:tc>
        <w:tc>
          <w:tcPr>
            <w:tcW w:type="dxa" w:w="3135"/>
            <w:shd w:fill="F2F6F1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id, name, service_id, active</w:t>
            </w:r>
          </w:p>
        </w:tc>
        <w:tc>
          <w:tcPr>
            <w:tcW w:type="dxa" w:w="3135"/>
            <w:shd w:fill="F2F6F1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Cada profesional pertenece a un servicio.</w:t>
            </w:r>
          </w:p>
        </w:tc>
      </w:tr>
      <w:tr>
        <w:tc>
          <w:tcPr>
            <w:tcW w:type="dxa" w:w="3135"/>
            <w:shd w:fill="FFFFFF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schedules</w:t>
            </w:r>
          </w:p>
        </w:tc>
        <w:tc>
          <w:tcPr>
            <w:tcW w:type="dxa" w:w="3135"/>
            <w:shd w:fill="FFFFFF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id, professional_id, date_label, time_label, active</w:t>
            </w:r>
          </w:p>
        </w:tc>
        <w:tc>
          <w:tcPr>
            <w:tcW w:type="dxa" w:w="3135"/>
            <w:shd w:fill="FFFFFF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No hay duplicados de profesional, fecha y hora.</w:t>
            </w:r>
          </w:p>
        </w:tc>
      </w:tr>
      <w:tr>
        <w:tc>
          <w:tcPr>
            <w:tcW w:type="dxa" w:w="3135"/>
            <w:shd w:fill="F2F6F1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appointments</w:t>
            </w:r>
          </w:p>
        </w:tc>
        <w:tc>
          <w:tcPr>
            <w:tcW w:type="dxa" w:w="3135"/>
            <w:shd w:fill="F2F6F1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id, client_id, user_id, schedule_id, status, archived</w:t>
            </w:r>
          </w:p>
        </w:tc>
        <w:tc>
          <w:tcPr>
            <w:tcW w:type="dxa" w:w="3135"/>
            <w:shd w:fill="F2F6F1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Un horario no admite dos citas no canceladas.</w:t>
            </w:r>
          </w:p>
        </w:tc>
      </w:tr>
      <w:tr>
        <w:tc>
          <w:tcPr>
            <w:tcW w:type="dxa" w:w="3135"/>
            <w:shd w:fill="FFFFFF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sessions</w:t>
            </w:r>
          </w:p>
        </w:tc>
        <w:tc>
          <w:tcPr>
            <w:tcW w:type="dxa" w:w="3135"/>
            <w:shd w:fill="FFFFFF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token_hash, user_id, expires_at</w:t>
            </w:r>
          </w:p>
        </w:tc>
        <w:tc>
          <w:tcPr>
            <w:tcW w:type="dxa" w:w="3135"/>
            <w:shd w:fill="FFFFFF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Se guarda hash del token, no el token original.</w:t>
            </w:r>
          </w:p>
        </w:tc>
      </w:tr>
    </w:tbl>
    <w:p>
      <w:pPr>
        <w:spacing w:before="0" w:after="80" w:line="240" w:lineRule="auto"/>
      </w:pPr>
      <w:r>
        <w:rPr>
          <w:rFonts w:ascii="Arial" w:hAnsi="Arial"/>
          <w:color w:val="000000"/>
          <w:sz w:val="22"/>
        </w:rPr>
        <w:t>Endpoints principales: POST /api/auth/register, POST /api/auth/login, GET /api/auth/me, POST /api/auth/logout, GET /api/catalog, GET /api/appointments, POST /api/appointments, POST /api/appointments/:id/cancel y /api/admin/{roles,users,services,professionals,schedules,appointments,sessions}. Las mutaciones exigen sesión, JSON, origen permitido y parámetros preparados.</w:t>
      </w:r>
    </w:p>
    <w:p>
      <w:pPr>
        <w:spacing w:before="0" w:after="80" w:line="240" w:lineRule="auto"/>
      </w:pPr>
      <w:r>
        <w:rPr>
          <w:rFonts w:ascii="Arial" w:hAnsi="Arial"/>
          <w:color w:val="000000"/>
          <w:sz w:val="22"/>
        </w:rPr>
        <w:t>Reglas: un paciente solo ve sus citas; un administrador cambia estados PENDIENTE → CONFIRMADA → ATENDIDA o CANCELADA; no se cancela una cita atendida; client_id permite reintentos idempotentes; ante conflicto se conserva la solicitud y se muestra revisión.</w:t>
      </w:r>
    </w:p>
    <w:p>
      <w:pPr>
        <w:spacing w:before="200" w:after="80" w:line="240" w:lineRule="auto"/>
      </w:pPr>
      <w:r>
        <w:rPr>
          <w:rFonts w:ascii="Arial" w:hAnsi="Arial"/>
          <w:b/>
          <w:color w:val="000000"/>
          <w:sz w:val="28"/>
        </w:rPr>
        <w:t>10. Plan de trabajo por entregables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36952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Parte</w:t>
            </w:r>
          </w:p>
        </w:tc>
        <w:tc>
          <w:tcPr>
            <w:tcW w:type="dxa" w:w="3135"/>
            <w:shd w:fill="236952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Trabajo</w:t>
            </w:r>
          </w:p>
        </w:tc>
        <w:tc>
          <w:tcPr>
            <w:tcW w:type="dxa" w:w="3135"/>
            <w:shd w:fill="236952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Evidencia</w:t>
            </w:r>
          </w:p>
        </w:tc>
      </w:tr>
      <w:tr>
        <w:tc>
          <w:tcPr>
            <w:tcW w:type="dxa" w:w="3135"/>
            <w:shd w:fill="FFFFFF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Parte 1</w:t>
            </w:r>
          </w:p>
        </w:tc>
        <w:tc>
          <w:tcPr>
            <w:tcW w:type="dxa" w:w="3135"/>
            <w:shd w:fill="FFFFFF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Problema, usuarios, SEPTE y requisitos.</w:t>
            </w:r>
          </w:p>
        </w:tc>
        <w:tc>
          <w:tcPr>
            <w:tcW w:type="dxa" w:w="3135"/>
            <w:shd w:fill="FFFFFF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01-problema-y-alcance.md, 02-diagnostico-septe.md, 03-objetivos-smart.md</w:t>
            </w:r>
          </w:p>
        </w:tc>
      </w:tr>
      <w:tr>
        <w:tc>
          <w:tcPr>
            <w:tcW w:type="dxa" w:w="3135"/>
            <w:shd w:fill="F2F6F1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Parte 2</w:t>
            </w:r>
          </w:p>
        </w:tc>
        <w:tc>
          <w:tcPr>
            <w:tcW w:type="dxa" w:w="3135"/>
            <w:shd w:fill="F2F6F1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Casos, flujos, modelo y mockups.</w:t>
            </w:r>
          </w:p>
        </w:tc>
        <w:tc>
          <w:tcPr>
            <w:tcW w:type="dxa" w:w="3135"/>
            <w:shd w:fill="F2F6F1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05-casos-y-flujos.md, 06-modelo-datos.md, carpeta mockups</w:t>
            </w:r>
          </w:p>
        </w:tc>
      </w:tr>
      <w:tr>
        <w:tc>
          <w:tcPr>
            <w:tcW w:type="dxa" w:w="3135"/>
            <w:shd w:fill="FFFFFF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Parte 3</w:t>
            </w:r>
          </w:p>
        </w:tc>
        <w:tc>
          <w:tcPr>
            <w:tcW w:type="dxa" w:w="3135"/>
            <w:shd w:fill="FFFFFF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Android, SQLite y API REST.</w:t>
            </w:r>
          </w:p>
        </w:tc>
        <w:tc>
          <w:tcPr>
            <w:tcW w:type="dxa" w:w="3135"/>
            <w:shd w:fill="FFFFFF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Código, APK, migración D1, 07-api-rest.md</w:t>
            </w:r>
          </w:p>
        </w:tc>
      </w:tr>
      <w:tr>
        <w:tc>
          <w:tcPr>
            <w:tcW w:type="dxa" w:w="3135"/>
            <w:shd w:fill="F2F6F1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Parte 4</w:t>
            </w:r>
          </w:p>
        </w:tc>
        <w:tc>
          <w:tcPr>
            <w:tcW w:type="dxa" w:w="3135"/>
            <w:shd w:fill="F2F6F1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Portal CRUD, sincronización y pruebas.</w:t>
            </w:r>
          </w:p>
        </w:tc>
        <w:tc>
          <w:tcPr>
            <w:tcW w:type="dxa" w:w="3135"/>
            <w:shd w:fill="F2F6F1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Portal, test/api.test.mjs, 09-plan-pruebas.md</w:t>
            </w:r>
          </w:p>
        </w:tc>
      </w:tr>
      <w:tr>
        <w:tc>
          <w:tcPr>
            <w:tcW w:type="dxa" w:w="3135"/>
            <w:shd w:fill="FFFFFF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Parte 5</w:t>
            </w:r>
          </w:p>
        </w:tc>
        <w:tc>
          <w:tcPr>
            <w:tcW w:type="dxa" w:w="3135"/>
            <w:shd w:fill="FFFFFF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Informe, manual, video y defensa.</w:t>
            </w:r>
          </w:p>
        </w:tc>
        <w:tc>
          <w:tcPr>
            <w:tcW w:type="dxa" w:w="3135"/>
            <w:shd w:fill="FFFFFF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Este informe, guion, matriz y video</w:t>
            </w:r>
          </w:p>
        </w:tc>
      </w:tr>
    </w:tbl>
    <w:p>
      <w:pPr>
        <w:spacing w:before="200" w:after="80" w:line="240" w:lineRule="auto"/>
      </w:pPr>
      <w:r>
        <w:rPr>
          <w:rFonts w:ascii="Arial" w:hAnsi="Arial"/>
          <w:b/>
          <w:color w:val="000000"/>
          <w:sz w:val="28"/>
        </w:rPr>
        <w:t>11. Pruebas y evidencias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36952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Prueba</w:t>
            </w:r>
          </w:p>
        </w:tc>
        <w:tc>
          <w:tcPr>
            <w:tcW w:type="dxa" w:w="4703"/>
            <w:shd w:fill="236952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Resultado observado</w:t>
            </w:r>
          </w:p>
        </w:tc>
      </w:tr>
      <w:tr>
        <w:tc>
          <w:tcPr>
            <w:tcW w:type="dxa" w:w="4703"/>
            <w:shd w:fill="FFFFFF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Autenticación y aislamiento</w:t>
            </w:r>
          </w:p>
        </w:tc>
        <w:tc>
          <w:tcPr>
            <w:tcW w:type="dxa" w:w="4703"/>
            <w:shd w:fill="FFFFFF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Aprobada: registro, login, rol paciente, acceso propio y revocación.</w:t>
            </w:r>
          </w:p>
        </w:tc>
      </w:tr>
      <w:tr>
        <w:tc>
          <w:tcPr>
            <w:tcW w:type="dxa" w:w="4703"/>
            <w:shd w:fill="F2F6F1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Idempotencia y conflicto</w:t>
            </w:r>
          </w:p>
        </w:tc>
        <w:tc>
          <w:tcPr>
            <w:tcW w:type="dxa" w:w="4703"/>
            <w:shd w:fill="F2F6F1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Aprobada: dos reservas concurrentes producen una sola reserva válida.</w:t>
            </w:r>
          </w:p>
        </w:tc>
      </w:tr>
      <w:tr>
        <w:tc>
          <w:tcPr>
            <w:tcW w:type="dxa" w:w="4703"/>
            <w:shd w:fill="FFFFFF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Administración</w:t>
            </w:r>
          </w:p>
        </w:tc>
        <w:tc>
          <w:tcPr>
            <w:tcW w:type="dxa" w:w="4703"/>
            <w:shd w:fill="FFFFFF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Aprobada: CRUD de servicio, protección de roles y transición de estados.</w:t>
            </w:r>
          </w:p>
        </w:tc>
      </w:tr>
      <w:tr>
        <w:tc>
          <w:tcPr>
            <w:tcW w:type="dxa" w:w="4703"/>
            <w:shd w:fill="F2F6F1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Validación</w:t>
            </w:r>
          </w:p>
        </w:tc>
        <w:tc>
          <w:tcPr>
            <w:tcW w:type="dxa" w:w="4703"/>
            <w:shd w:fill="F2F6F1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Aprobada: JSON inválido, correo incorrecto y origen no permitido son rechazados.</w:t>
            </w:r>
          </w:p>
        </w:tc>
      </w:tr>
      <w:tr>
        <w:tc>
          <w:tcPr>
            <w:tcW w:type="dxa" w:w="4703"/>
            <w:shd w:fill="FFFFFF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Compilación Android</w:t>
            </w:r>
          </w:p>
        </w:tc>
        <w:tc>
          <w:tcPr>
            <w:tcW w:type="dxa" w:w="4703"/>
            <w:shd w:fill="FFFFFF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Aprobada: assembleDebug y testDebugUnitTest.</w:t>
            </w:r>
          </w:p>
        </w:tc>
      </w:tr>
      <w:tr>
        <w:tc>
          <w:tcPr>
            <w:tcW w:type="dxa" w:w="4703"/>
            <w:shd w:fill="F2F6F1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Endpoint de salud</w:t>
            </w:r>
          </w:p>
        </w:tc>
        <w:tc>
          <w:tcPr>
            <w:tcW w:type="dxa" w:w="4703"/>
            <w:shd w:fill="F2F6F1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Aprobado: ok=true, versión 2.0 y zona America/Lima.</w:t>
            </w:r>
          </w:p>
        </w:tc>
      </w:tr>
      <w:tr>
        <w:tc>
          <w:tcPr>
            <w:tcW w:type="dxa" w:w="4703"/>
            <w:shd w:fill="FFFFFF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Interfaz Android</w:t>
            </w:r>
          </w:p>
        </w:tc>
        <w:tc>
          <w:tcPr>
            <w:tcW w:type="dxa" w:w="4703"/>
            <w:shd w:fill="FFFFFF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Verificada en Pixel 10 Pro XL: login, insets y estilo verde sage.</w:t>
            </w:r>
          </w:p>
        </w:tc>
      </w:tr>
    </w:tbl>
    <w:p>
      <w:pPr>
        <w:spacing w:before="0" w:after="80" w:line="240" w:lineRule="auto"/>
      </w:pPr>
      <w:r>
        <w:rPr>
          <w:rFonts w:ascii="Arial" w:hAnsi="Arial"/>
          <w:color w:val="000000"/>
          <w:sz w:val="22"/>
        </w:rPr>
        <w:t>La captura incluida corresponde al arranque real de la aplicación en el emulador. Las credenciales demo quedan fuera del código fuente, en private/access.json y private/ACCESOS.txt. Los nombres del equipo, docente, sección y ciclo permanecen pendientes de completar por los estudiantes.</w:t>
      </w:r>
    </w:p>
    <w:p>
      <w:pPr>
        <w:spacing w:before="200" w:after="80" w:line="240" w:lineRule="auto"/>
      </w:pPr>
      <w:r>
        <w:rPr>
          <w:rFonts w:ascii="Arial" w:hAnsi="Arial"/>
          <w:b/>
          <w:color w:val="000000"/>
          <w:sz w:val="28"/>
        </w:rPr>
        <w:t>12. Conclusiones</w:t>
      </w:r>
    </w:p>
    <w:p>
      <w:pPr>
        <w:pStyle w:val="ListNumber"/>
        <w:spacing w:before="0" w:after="40" w:line="240" w:lineRule="auto"/>
      </w:pPr>
      <w:r>
        <w:rPr>
          <w:rFonts w:ascii="Arial" w:hAnsi="Arial"/>
          <w:color w:val="000000"/>
          <w:sz w:val="22"/>
        </w:rPr>
        <w:t>El prototipo cumple el flujo central: autenticación, catálogo, reserva, agenda personal, administración y sincronización local/remota.</w:t>
      </w:r>
    </w:p>
    <w:p>
      <w:pPr>
        <w:pStyle w:val="ListNumber"/>
        <w:spacing w:before="0" w:after="40" w:line="240" w:lineRule="auto"/>
      </w:pPr>
      <w:r>
        <w:rPr>
          <w:rFonts w:ascii="Arial" w:hAnsi="Arial"/>
          <w:color w:val="000000"/>
          <w:sz w:val="22"/>
        </w:rPr>
        <w:t>La separación por capas y el uso de client_id, SQLite y restricciones D1 hacen explícitos los problemas de conectividad, reintento y disponibilidad.</w:t>
      </w:r>
    </w:p>
    <w:p>
      <w:pPr>
        <w:pStyle w:val="ListNumber"/>
        <w:spacing w:before="0" w:after="40" w:line="240" w:lineRule="auto"/>
      </w:pPr>
      <w:r>
        <w:rPr>
          <w:rFonts w:ascii="Arial" w:hAnsi="Arial"/>
          <w:color w:val="000000"/>
          <w:sz w:val="22"/>
        </w:rPr>
        <w:t>La solución está lista para defensa académica con datos ficticios; antes de uso real requiere requisitos de privacidad, operación, notificaciones, recuperación y validación con usuarios.</w:t>
      </w:r>
    </w:p>
    <w:p>
      <w:pPr>
        <w:spacing w:before="200" w:after="80" w:line="240" w:lineRule="auto"/>
      </w:pPr>
      <w:r>
        <w:rPr>
          <w:rFonts w:ascii="Arial" w:hAnsi="Arial"/>
          <w:b/>
          <w:color w:val="000000"/>
          <w:sz w:val="28"/>
        </w:rPr>
        <w:t>13. Recomendaciones</w:t>
      </w:r>
    </w:p>
    <w:p>
      <w:pPr>
        <w:pStyle w:val="ListNumber"/>
        <w:spacing w:before="0" w:after="40" w:line="240" w:lineRule="auto"/>
      </w:pPr>
      <w:r>
        <w:rPr>
          <w:rFonts w:ascii="Arial" w:hAnsi="Arial"/>
          <w:color w:val="000000"/>
          <w:sz w:val="22"/>
        </w:rPr>
        <w:t>Completar carátula, integrantes, sección y docente; cada participante debe explicar una parte y registrar sus aportes reales.</w:t>
      </w:r>
    </w:p>
    <w:p>
      <w:pPr>
        <w:pStyle w:val="ListNumber"/>
        <w:spacing w:before="0" w:after="40" w:line="240" w:lineRule="auto"/>
      </w:pPr>
      <w:r>
        <w:rPr>
          <w:rFonts w:ascii="Arial" w:hAnsi="Arial"/>
          <w:color w:val="000000"/>
          <w:sz w:val="22"/>
        </w:rPr>
        <w:t>Para una fase piloto, agregar recuperación de contraseña, notificaciones, auditoría, monitoreo y pruebas instrumentadas en varios tamaños.</w:t>
      </w:r>
    </w:p>
    <w:p>
      <w:pPr>
        <w:pStyle w:val="ListNumber"/>
        <w:spacing w:before="0" w:after="40" w:line="240" w:lineRule="auto"/>
      </w:pPr>
      <w:r>
        <w:rPr>
          <w:rFonts w:ascii="Arial" w:hAnsi="Arial"/>
          <w:color w:val="000000"/>
          <w:sz w:val="22"/>
        </w:rPr>
        <w:t>Validar con personal real los estados de atención y política de cancelación antes de conectar datos institucionales.</w:t>
      </w:r>
    </w:p>
    <w:p>
      <w:pPr>
        <w:spacing w:before="200" w:after="80" w:line="240" w:lineRule="auto"/>
      </w:pPr>
      <w:r>
        <w:rPr>
          <w:rFonts w:ascii="Arial" w:hAnsi="Arial"/>
          <w:b/>
          <w:color w:val="000000"/>
          <w:sz w:val="28"/>
        </w:rPr>
        <w:t>14. Glosario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36952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Término</w:t>
            </w:r>
          </w:p>
        </w:tc>
        <w:tc>
          <w:tcPr>
            <w:tcW w:type="dxa" w:w="4703"/>
            <w:shd w:fill="236952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Definición</w:t>
            </w:r>
          </w:p>
        </w:tc>
      </w:tr>
      <w:tr>
        <w:tc>
          <w:tcPr>
            <w:tcW w:type="dxa" w:w="4703"/>
            <w:shd w:fill="FFFFFF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API REST</w:t>
            </w:r>
          </w:p>
        </w:tc>
        <w:tc>
          <w:tcPr>
            <w:tcW w:type="dxa" w:w="4703"/>
            <w:shd w:fill="FFFFFF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Interfaz HTTP que expone recursos y operaciones.</w:t>
            </w:r>
          </w:p>
        </w:tc>
      </w:tr>
      <w:tr>
        <w:tc>
          <w:tcPr>
            <w:tcW w:type="dxa" w:w="4703"/>
            <w:shd w:fill="F2F6F1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CRUD</w:t>
            </w:r>
          </w:p>
        </w:tc>
        <w:tc>
          <w:tcPr>
            <w:tcW w:type="dxa" w:w="4703"/>
            <w:shd w:fill="F2F6F1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Crear, consultar, actualizar y eliminar registros.</w:t>
            </w:r>
          </w:p>
        </w:tc>
      </w:tr>
      <w:tr>
        <w:tc>
          <w:tcPr>
            <w:tcW w:type="dxa" w:w="4703"/>
            <w:shd w:fill="FFFFFF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D1</w:t>
            </w:r>
          </w:p>
        </w:tc>
        <w:tc>
          <w:tcPr>
            <w:tcW w:type="dxa" w:w="4703"/>
            <w:shd w:fill="FFFFFF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Base SQLite administrada por Cloudflare para el Worker.</w:t>
            </w:r>
          </w:p>
        </w:tc>
      </w:tr>
      <w:tr>
        <w:tc>
          <w:tcPr>
            <w:tcW w:type="dxa" w:w="4703"/>
            <w:shd w:fill="F2F6F1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Outbox</w:t>
            </w:r>
          </w:p>
        </w:tc>
        <w:tc>
          <w:tcPr>
            <w:tcW w:type="dxa" w:w="4703"/>
            <w:shd w:fill="F2F6F1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Cola local de cambios pendientes de enviar.</w:t>
            </w:r>
          </w:p>
        </w:tc>
      </w:tr>
      <w:tr>
        <w:tc>
          <w:tcPr>
            <w:tcW w:type="dxa" w:w="4703"/>
            <w:shd w:fill="FFFFFF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SQLite</w:t>
            </w:r>
          </w:p>
        </w:tc>
        <w:tc>
          <w:tcPr>
            <w:tcW w:type="dxa" w:w="4703"/>
            <w:shd w:fill="FFFFFF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Base de datos embebida usada por Android.</w:t>
            </w:r>
          </w:p>
        </w:tc>
      </w:tr>
      <w:tr>
        <w:tc>
          <w:tcPr>
            <w:tcW w:type="dxa" w:w="4703"/>
            <w:shd w:fill="F2F6F1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Idempotencia</w:t>
            </w:r>
          </w:p>
        </w:tc>
        <w:tc>
          <w:tcPr>
            <w:tcW w:type="dxa" w:w="4703"/>
            <w:shd w:fill="F2F6F1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Evita duplicar una operación al reintentar.</w:t>
            </w:r>
          </w:p>
        </w:tc>
      </w:tr>
      <w:tr>
        <w:tc>
          <w:tcPr>
            <w:tcW w:type="dxa" w:w="4703"/>
            <w:shd w:fill="FFFFFF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PBKDF2</w:t>
            </w:r>
          </w:p>
        </w:tc>
        <w:tc>
          <w:tcPr>
            <w:tcW w:type="dxa" w:w="4703"/>
            <w:shd w:fill="FFFFFF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Derivación repetida para almacenar contraseñas de forma no reversible.</w:t>
            </w:r>
          </w:p>
        </w:tc>
      </w:tr>
      <w:tr>
        <w:tc>
          <w:tcPr>
            <w:tcW w:type="dxa" w:w="4703"/>
            <w:shd w:fill="F2F6F1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SEPTE</w:t>
            </w:r>
          </w:p>
        </w:tc>
        <w:tc>
          <w:tcPr>
            <w:tcW w:type="dxa" w:w="4703"/>
            <w:shd w:fill="F2F6F1"/>
            <w:tcBorders>
              <w:top w:val="single" w:sz="6" w:color="D9E2DC"/>
              <w:left w:val="single" w:sz="6" w:color="D9E2DC"/>
              <w:bottom w:val="single" w:sz="6" w:color="D9E2DC"/>
              <w:right w:val="single" w:sz="6" w:color="D9E2DC"/>
              <w:insideH w:val="single" w:sz="6" w:color="D9E2DC"/>
              <w:insideV w:val="single" w:sz="6" w:color="D9E2DC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Análisis social, económico, político, tecnológico y ecológico.</w:t>
            </w:r>
          </w:p>
        </w:tc>
      </w:tr>
    </w:tbl>
    <w:p>
      <w:pPr>
        <w:spacing w:before="200" w:after="80" w:line="240" w:lineRule="auto"/>
      </w:pPr>
      <w:r>
        <w:rPr>
          <w:rFonts w:ascii="Arial" w:hAnsi="Arial"/>
          <w:b/>
          <w:color w:val="000000"/>
          <w:sz w:val="28"/>
        </w:rPr>
        <w:t>15. Bibliografía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color w:val="000000"/>
          <w:sz w:val="22"/>
        </w:rPr>
        <w:t>Instituto Nacional de Estadística e Informática. (2026). El 62,7 % de los hogares del país tuvo conexión a internet entre enero y marzo de 2026. https://www.gob.pe/institucion/inei/noticias/1412359-el-62-7-de-los-hogares-del-pais-tuvo-conexion-a-internet-entre-los-meses-de-enero-y-marzo-de-2026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color w:val="000000"/>
          <w:sz w:val="22"/>
        </w:rPr>
        <w:t>Cloudflare. (2026). D1 pricing. https://developers.cloudflare.com/d1/platform/pricing/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color w:val="000000"/>
          <w:sz w:val="22"/>
        </w:rPr>
        <w:t>Cloudflare. (2026). Workers pricing. https://developers.cloudflare.com/workers/platform/pricing/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color w:val="000000"/>
          <w:sz w:val="22"/>
        </w:rPr>
        <w:t>EsSalud. (s. f.). Sacar una cita médica en EsSalud. https://www.gob.pe/institucion/essalud/pages/277-sacar-una-cita-medica-en-essalud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color w:val="000000"/>
          <w:sz w:val="22"/>
        </w:rPr>
        <w:t>Android Developers. (s. f.). Save data in a local database using Room. https://developer.android.com/training/data-storage/room</w:t>
      </w:r>
    </w:p>
    <w:p>
      <w:pPr>
        <w:spacing w:before="200" w:after="80" w:line="240" w:lineRule="auto"/>
      </w:pPr>
      <w:r>
        <w:rPr>
          <w:rFonts w:ascii="Arial" w:hAnsi="Arial"/>
          <w:b/>
          <w:color w:val="000000"/>
          <w:sz w:val="28"/>
        </w:rPr>
        <w:t>16. Anexos</w:t>
      </w:r>
    </w:p>
    <w:p>
      <w:pPr>
        <w:spacing w:before="0" w:after="80" w:line="240" w:lineRule="auto"/>
      </w:pPr>
      <w:r>
        <w:rPr>
          <w:rFonts w:ascii="Arial" w:hAnsi="Arial"/>
          <w:color w:val="000000"/>
          <w:sz w:val="22"/>
        </w:rPr>
        <w:t>Anexo A. Estructura de carpetas: app Android, backend, docs, entregables y private. private no debe subirse a repositorio público.</w:t>
      </w:r>
    </w:p>
    <w:p>
      <w:pPr>
        <w:spacing w:before="0" w:after="80" w:line="240" w:lineRule="auto"/>
      </w:pPr>
      <w:r>
        <w:rPr>
          <w:rFonts w:ascii="Arial" w:hAnsi="Arial"/>
          <w:color w:val="000000"/>
          <w:sz w:val="22"/>
        </w:rPr>
        <w:t>Anexo B. Matriz de requisitos y evidencia: CitaFacil-Matriz-Requisitos.md.</w:t>
      </w:r>
    </w:p>
    <w:p>
      <w:pPr>
        <w:spacing w:before="0" w:after="80" w:line="240" w:lineRule="auto"/>
      </w:pPr>
      <w:r>
        <w:rPr>
          <w:rFonts w:ascii="Arial" w:hAnsi="Arial"/>
          <w:color w:val="000000"/>
          <w:sz w:val="22"/>
        </w:rPr>
        <w:t>Anexo C. Manual de usuario y manual técnico: archivos Markdown editables.</w:t>
      </w:r>
    </w:p>
    <w:p>
      <w:pPr>
        <w:spacing w:before="0" w:after="80" w:line="240" w:lineRule="auto"/>
      </w:pPr>
      <w:r>
        <w:rPr>
          <w:rFonts w:ascii="Arial" w:hAnsi="Arial"/>
          <w:color w:val="000000"/>
          <w:sz w:val="22"/>
        </w:rPr>
        <w:t>Anexo D. Guion de demostración: CitaFacil-Guion-Demo-3-5-min.md.</w:t>
      </w:r>
    </w:p>
    <w:p>
      <w:pPr>
        <w:spacing w:before="0" w:after="80" w:line="240" w:lineRule="auto"/>
      </w:pPr>
      <w:r>
        <w:rPr>
          <w:rFonts w:ascii="Arial" w:hAnsi="Arial"/>
          <w:color w:val="000000"/>
          <w:sz w:val="22"/>
        </w:rPr>
        <w:t>Anexo E. Modelo físico: CitaFacil-Esquema.sql y backend/migrations/0001_citafacil.sql.</w:t>
      </w:r>
    </w:p>
    <w:sectPr w:rsidR="00FC693F" w:rsidRPr="0006063C" w:rsidSect="00034616">
      <w:footerReference w:type="default" r:id="rId9"/>
      <w:pgSz w:w="12240" w:h="15840"/>
      <w:pgMar w:top="1701" w:right="1417" w:bottom="170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Arial" w:hAnsi="Arial"/>
        <w:color w:val="60736A"/>
        <w:sz w:val="18"/>
      </w:rPr>
      <w:t xml:space="preserve">CitaFácil · Informe académico · Página </w:t>
    </w:r>
    <w:r>
      <w:fldSimple w:instr="PAGE"/>
    </w:r>
  </w:p>
</w:ftr>
</file>

<file path=word/footnotes.xml><?xml version="1.0" encoding="utf-8"?>
<w:footnotes xmlns:w="http://schemas.openxmlformats.org/wordprocessingml/2006/main" xmlns:r="http://schemas.openxmlformats.org/officeDocument/2006/relationships">
  <w:footnote w:id="-1">
    <w:p>
      <w:r>
        <w:separator/>
      </w:r>
    </w:p>
  </w:footnote>
  <w:footnote w:id="0">
    <w:p>
      <w:r>
        <w:continuationSeparator/>
      </w:r>
    </w:p>
  </w:footnote>
  <w:footnote w:id="1">
    <w:p>
      <w:r>
        <w:footnoteRef/>
      </w:r>
      <w:r>
        <w:t> Instituto Nacional de Estadística e Informática (INEI), El 62,7 % de los hogares del país tuvo conexión a internet entre enero y marzo de 2026, 2026, https://www.gob.pe/institucion/inei/noticias/1412359-el-62-7-de-los-hogares-del-pais-tuvo-conexion-a-internet-entre-los-meses-de-enero-y-marzo-de-2026.</w:t>
      </w:r>
    </w:p>
  </w:footnote>
  <w:footnote w:id="2">
    <w:p>
      <w:r>
        <w:footnoteRef/>
      </w:r>
      <w:r>
        <w:t> Cloudflare, D1 pricing y Workers pricing, 2026, https://developers.cloudflare.com/d1/platform/pricing/ y https://developers.cloudflare.com/workers/platform/pricing/.</w:t>
      </w:r>
    </w:p>
  </w:footnote>
  <w:footnote w:id="3">
    <w:p>
      <w:r>
        <w:footnoteRef/>
      </w:r>
      <w:r>
        <w:t> EsSalud, Sacar una cita médica en EsSalud, https://www.gob.pe/institucion/essalud/pages/277-sacar-una-cita-medica-en-essalud.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8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