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Manual técnico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Arquitectura, componentes y evolución de Bodega Norte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Arquitectura actual</w:t>
      </w:r>
    </w:p>
    <w:p>
      <w:r>
        <w:t>El sistema se entrega como SPA construida con React y Vite. La aplicación concentra la presentación y las reglas del MVP en el cliente, con almacenamiento local para facilitar una demostración autónoma. La arquitectura está preparada para extraer la persistencia y las integraciones hacia servicios backend.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Presentación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React + CSS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Vistas, componentes, navegación responsive y estados visuales.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Dominio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Funciones del frontend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Cálculo de totales, validación, stock, reportes y filtros.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Persistencia demo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localStorage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Conservar productos y ventas del navegador.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Persistencia futura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SQL Server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Modelo relacional multiusuario mediante API segura.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Integración futura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 Assistant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Consultas conversacionales de inventario y ventas.</w:t>
            </w:r>
          </w:p>
        </w:tc>
      </w:tr>
    </w:tbl>
    <w:p/>
    <w:p>
      <w:pPr>
        <w:pStyle w:val="Heading1"/>
      </w:pPr>
      <w:r>
        <w:t>2. Estructura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src/main.jsx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Composición de la aplicación, vistas y lógica del MVP.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src/styles.css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Sistema visual, layout, responsive y estados.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database/schema.sql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Tablas, relaciones, índices y procedimientos previstos.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integration/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 de integración Java y guía asociada.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docs/diagramas/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Arquitectura draw.io y modelo de datos SVG.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docs/word/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Informes y manuales editables para la entrega académica.</w:t>
            </w:r>
          </w:p>
        </w:tc>
      </w:tr>
    </w:tbl>
    <w:p/>
    <w:p>
      <w:pPr>
        <w:pStyle w:val="Heading1"/>
      </w:pPr>
      <w:r>
        <w:t>3. Modelo de datos previsto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Campos principales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Relación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name, category, price, stock, min_stock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Un producto participa en detalles de venta.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sales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sold_at, payment_method, total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Una venta contiene uno o más detalles.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sale_items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sale_id, product_id, quantity, unit_price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Relaciona ventas y productos.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stock_movements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product_id, type, quantity, reason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Audita entradas, salidas y ajustes.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suppliers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name, contact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Base para módulo de compras futuro.</w:t>
            </w:r>
          </w:p>
        </w:tc>
      </w:tr>
    </w:tbl>
    <w:p/>
    <w:p>
      <w:pPr>
        <w:pStyle w:val="Heading1"/>
      </w:pPr>
      <w:r>
        <w:t>4. Reglas de negocio</w:t>
      </w:r>
    </w:p>
    <w:p>
      <w:pPr>
        <w:pStyle w:val="ListBullet"/>
      </w:pPr>
      <w:r>
        <w:t>Una venta no debe superar el stock disponible.</w:t>
      </w:r>
    </w:p>
    <w:p>
      <w:pPr>
        <w:pStyle w:val="ListBullet"/>
      </w:pPr>
      <w:r>
        <w:t>El total de una venta es la suma de cantidad por precio unitario.</w:t>
      </w:r>
    </w:p>
    <w:p>
      <w:pPr>
        <w:pStyle w:val="ListBullet"/>
      </w:pPr>
      <w:r>
        <w:t>Stock bajo cuando stock actual es menor o igual a stock mínimo.</w:t>
      </w:r>
    </w:p>
    <w:p>
      <w:pPr>
        <w:pStyle w:val="ListBullet"/>
      </w:pPr>
      <w:r>
        <w:t>El registro de una venta descuenta unidades y guarda el método de pago.</w:t>
      </w:r>
    </w:p>
    <w:p>
      <w:pPr>
        <w:pStyle w:val="ListBullet"/>
      </w:pPr>
      <w:r>
        <w:t>Los datos de entrada deben validarse antes de persistir.</w:t>
      </w:r>
    </w:p>
    <w:p>
      <w:pPr>
        <w:pStyle w:val="ListBullet"/>
      </w:pPr>
      <w:r>
        <w:t>Las claves de Watson deben permanecer fuera del cliente y del repositorio.</w:t>
      </w:r>
    </w:p>
    <w:p>
      <w:pPr>
        <w:pStyle w:val="Heading1"/>
      </w:pPr>
      <w:r>
        <w:t>5. Migración a SQL Server</w:t>
      </w:r>
    </w:p>
    <w:p>
      <w:pPr>
        <w:pStyle w:val="ListNumber"/>
      </w:pPr>
      <w:r>
        <w:t>Crear la base según database/schema.sql.</w:t>
      </w:r>
    </w:p>
    <w:p>
      <w:pPr>
        <w:pStyle w:val="ListNumber"/>
      </w:pPr>
      <w:r>
        <w:t>Implementar API con endpoints autenticados para productos, ventas, stock y reportes.</w:t>
      </w:r>
    </w:p>
    <w:p>
      <w:pPr>
        <w:pStyle w:val="ListNumber"/>
      </w:pPr>
      <w:r>
        <w:t>Mover las operaciones de cálculo de stock al servidor dentro de una transacción.</w:t>
      </w:r>
    </w:p>
    <w:p>
      <w:pPr>
        <w:pStyle w:val="ListNumber"/>
      </w:pPr>
      <w:r>
        <w:t>Agregar índices para búsqueda por nombre, categoría y fecha.</w:t>
      </w:r>
    </w:p>
    <w:p>
      <w:pPr>
        <w:pStyle w:val="ListNumber"/>
      </w:pPr>
      <w:r>
        <w:t>Implementar auditoría de movimientos y control de concurrencia.</w:t>
      </w:r>
    </w:p>
    <w:p>
      <w:pPr>
        <w:pStyle w:val="ListNumber"/>
      </w:pPr>
      <w:r>
        <w:t>Cambiar el frontend para consumir VITE_API_BASE_URL y manejar estados de carga y error.</w:t>
      </w:r>
    </w:p>
    <w:p>
      <w:pPr>
        <w:pStyle w:val="Heading1"/>
      </w:pPr>
      <w:r>
        <w:t>6. Integración Watson Assistant</w:t>
      </w:r>
    </w:p>
    <w:p>
      <w:r>
        <w:t>La integración documentada separa intents, entidades, respuestas y contrato de backend. El navegador no debe llamar directamente al servicio con una API key; el backend debe autenticar, filtrar la consulta y devolver solo información permitida para el usuario.</w:t>
      </w:r>
    </w:p>
    <w:p>
      <w:pPr>
        <w:pStyle w:val="Heading1"/>
      </w:pPr>
      <w:r>
        <w:t>7. Calidad y seguridad</w:t>
      </w:r>
    </w:p>
    <w:p>
      <w:pPr>
        <w:pStyle w:val="ListBullet"/>
      </w:pPr>
      <w:r>
        <w:t>Ejecutar pnpm run build antes de cada entrega.</w:t>
      </w:r>
    </w:p>
    <w:p>
      <w:pPr>
        <w:pStyle w:val="ListBullet"/>
      </w:pPr>
      <w:r>
        <w:t>Mantener pruebas del flujo de venta y actualización de stock.</w:t>
      </w:r>
    </w:p>
    <w:p>
      <w:pPr>
        <w:pStyle w:val="ListBullet"/>
      </w:pPr>
      <w:r>
        <w:t>Revisar accesibilidad de botones, formularios y navegación móvil.</w:t>
      </w:r>
    </w:p>
    <w:p>
      <w:pPr>
        <w:pStyle w:val="ListBullet"/>
      </w:pPr>
      <w:r>
        <w:t>No subir .env, tokens, credenciales ni datos reales de clientes.</w:t>
      </w:r>
    </w:p>
    <w:p>
      <w:pPr>
        <w:pStyle w:val="ListBullet"/>
      </w:pPr>
      <w:r>
        <w:t>Respaldar documentación y exportaciones fuera del navegador.</w:t>
      </w:r>
    </w:p>
    <w:p>
      <w:pPr>
        <w:pStyle w:val="Heading1"/>
      </w:pPr>
      <w:r>
        <w:t>8. Evidencia visual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escri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Vista validada del dashboard y módulos principales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