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>
        <w:pStyle w:val="Title"/>
        <w:jc w:val="center"/>
      </w:pPr>
      <w:r>
        <w:rPr>
          <w:rFonts w:ascii="Arial" w:hAnsi="Arial" w:eastAsia="Arial"/>
          <w:b/>
          <w:color w:val="000000"/>
          <w:sz w:val="22"/>
        </w:rPr>
        <w:t>BODEGA NORTE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Informe inicial del proyecto</w:t>
      </w:r>
    </w:p>
    <w:p>
      <w:pPr>
        <w:jc w:val="center"/>
      </w:pPr>
      <w:r>
        <w:rPr>
          <w:rFonts w:ascii="Arial" w:hAnsi="Arial" w:eastAsia="Arial"/>
          <w:b/>
          <w:color w:val="000000"/>
          <w:sz w:val="22"/>
        </w:rPr>
        <w:t>Experiencias Formativas en Situaciones Reales de Trabajo III (EFSR14908)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Judith Jenny Jimenez Monago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Ciclo cuarto | Periodo 2026 | Semestre no consignado en los documentos recibidos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Grupo 10</w:t>
      </w:r>
    </w:p>
    <w:p/>
    <w:p>
      <w:pPr>
        <w:jc w:val="left"/>
      </w:pPr>
      <w:r>
        <w:rPr>
          <w:rFonts w:ascii="Arial" w:hAnsi="Arial" w:eastAsia="Arial"/>
          <w:color w:val="000000"/>
          <w:sz w:val="22"/>
        </w:rPr>
        <w:t>Coordinador: Gonzalo Yoel Choque Becerra</w:t>
      </w:r>
    </w:p>
    <w:p>
      <w:r>
        <w:rPr>
          <w:rFonts w:ascii="Arial" w:hAnsi="Arial" w:eastAsia="Arial"/>
          <w:color w:val="000000"/>
          <w:sz w:val="22"/>
        </w:rPr>
        <w:t>Integrantes: Adrian Alexander Berrocal Villanueva; Lalo Alessandro Eugenio Montalvo; Juan Diego Romero Peralta</w:t>
      </w:r>
    </w:p>
    <w:p>
      <w:r>
        <w:rPr>
          <w:rFonts w:ascii="Arial" w:hAnsi="Arial" w:eastAsia="Arial"/>
          <w:color w:val="000000"/>
          <w:sz w:val="22"/>
        </w:rPr>
        <w:t>Fecha de elaboración: 4 de octubre de 2026</w:t>
      </w:r>
    </w:p>
    <w:p>
      <w:r>
        <w:rPr>
          <w:rFonts w:ascii="Arial" w:hAnsi="Arial" w:eastAsia="Arial"/>
          <w:color w:val="000000"/>
          <w:sz w:val="22"/>
        </w:rPr>
        <w:br w:type="page"/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Introducción</w:t>
      </w:r>
    </w:p>
    <w:p>
      <w:r>
        <w:rPr>
          <w:rFonts w:ascii="Arial" w:hAnsi="Arial" w:eastAsia="Arial"/>
          <w:color w:val="000000"/>
          <w:sz w:val="22"/>
        </w:rPr>
        <w:t>Este informe define el proyecto académico Bodega Norte, un prototipo web para organizar productos, existencias y ventas de una pequeña bodega representada como caso de estudio. Se describen el problema supuesto, el contexto SEPTE, los objetivos, el alcance, la arquitectura propuesta, el equipo y los beneficiarios. El escenario no corresponde a una empresa participante: no se adjuntaron entrevistas, mediciones de tiempos ni registros operativos reales.</w:t>
      </w:r>
    </w:p>
    <w:p>
      <w:r>
        <w:rPr>
          <w:rFonts w:ascii="Arial" w:hAnsi="Arial" w:eastAsia="Arial"/>
          <w:color w:val="000000"/>
          <w:sz w:val="22"/>
        </w:rPr>
        <w:t>El planteamiento se presenta como propuesta académica y no certifica que sus actividades se hayan ejecutado en una fecha anterior. El estado técnico al cierre del paquete se documenta en el informe final y la matriz de pruebas.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Capítulo I Diagnóstico del problema</w:t>
      </w:r>
    </w:p>
    <w:p>
      <w:pPr>
        <w:pStyle w:val="Heading2"/>
        <w:keepNext/>
        <w:keepLines/>
      </w:pPr>
      <w:r>
        <w:rPr>
          <w:rFonts w:ascii="Arial" w:hAnsi="Arial" w:eastAsia="Arial"/>
          <w:color w:val="000000"/>
          <w:sz w:val="22"/>
        </w:rPr>
        <w:t>1.1 Diagnóstico situacional</w:t>
      </w:r>
    </w:p>
    <w:p>
      <w:r>
        <w:rPr>
          <w:rFonts w:ascii="Arial" w:hAnsi="Arial" w:eastAsia="Arial"/>
          <w:color w:val="000000"/>
          <w:sz w:val="22"/>
        </w:rPr>
        <w:t>Bodega Norte representa una bodega minorista ficticia de Lima Metropolitana. Para delimitar el ejercicio se supone que los datos de productos, ventas y existencias podrían mantenerse en apuntes o herramientas independientes. Esa condición se utiliza como problema de diseño y deberá contrastarse con una persona usuaria antes de aplicar la solución en un comercio real.</w:t>
      </w:r>
    </w:p>
    <w:p>
      <w:r>
        <w:rPr>
          <w:rFonts w:ascii="Arial" w:hAnsi="Arial" w:eastAsia="Arial"/>
          <w:color w:val="000000"/>
          <w:sz w:val="22"/>
        </w:rPr>
        <w:t>La necesidad que se aborda es consultar el catálogo y el stock con una referencia común y registrar ventas de manera que la cantidad disponible se actualice según las unidades vendidas. El prototipo trabaja con productos y operaciones de demostración; sus datos no son una línea base del sector ni de un negocio real.</w:t>
      </w:r>
    </w:p>
    <w:p>
      <w:pPr>
        <w:pStyle w:val="Heading2"/>
        <w:keepNext/>
        <w:keepLines/>
      </w:pPr>
      <w:r>
        <w:rPr>
          <w:rFonts w:ascii="Arial" w:hAnsi="Arial" w:eastAsia="Arial"/>
          <w:color w:val="000000"/>
          <w:sz w:val="22"/>
        </w:rPr>
        <w:t>1.2 Adversidades potenciales del escenario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Situación potencial</w:t>
            </w:r>
          </w:p>
        </w:tc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Consecuencia que se busca prevenir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Registros de productos y existencias separados.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Duplicidad, desfase o dificultad para ubicar un dato vigente.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Venta y actualización de stock sin una regla común.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Diferencias entre las unidades anotadas y las disponibles.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Falta de referencia de stock mínimo.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Demora para detectar productos que requieren revisión o reposición.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Ventas sin consulta centralizada.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Mayor esfuerzo al revisar operaciones recientes.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Dependencia de cálculos manuales.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Errores de digitación o cálculo que deben prevenirse con validaciones.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Reportes preparados por separado.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Información operativa menos accesible para el usuario del caso.</w:t>
            </w:r>
          </w:p>
        </w:tc>
      </w:tr>
    </w:tbl>
    <w:p/>
    <w:p>
      <w:r>
        <w:rPr>
          <w:rFonts w:ascii="Arial" w:hAnsi="Arial" w:eastAsia="Arial"/>
          <w:color w:val="000000"/>
          <w:sz w:val="22"/>
        </w:rPr>
        <w:t>Estas adversidades describen riesgos del escenario planteado, no hallazgos de una investigación de campo.</w:t>
      </w:r>
    </w:p>
    <w:p>
      <w:pPr>
        <w:pStyle w:val="Heading2"/>
        <w:keepNext/>
        <w:keepLines/>
      </w:pPr>
      <w:r>
        <w:rPr>
          <w:rFonts w:ascii="Arial" w:hAnsi="Arial" w:eastAsia="Arial"/>
          <w:color w:val="000000"/>
          <w:sz w:val="22"/>
        </w:rPr>
        <w:t>1.3 Análisis SEPTE</w:t>
      </w:r>
    </w:p>
    <w:p>
      <w:pPr>
        <w:pStyle w:val="Heading3"/>
        <w:keepNext/>
        <w:keepLines/>
      </w:pPr>
      <w:r>
        <w:rPr>
          <w:rFonts w:ascii="Arial" w:hAnsi="Arial" w:eastAsia="Arial"/>
          <w:color w:val="000000"/>
          <w:sz w:val="22"/>
        </w:rPr>
        <w:t>Aspecto social</w:t>
      </w:r>
    </w:p>
    <w:p>
      <w:r>
        <w:rPr>
          <w:rFonts w:ascii="Arial" w:hAnsi="Arial" w:eastAsia="Arial"/>
          <w:color w:val="000000"/>
          <w:sz w:val="22"/>
        </w:rPr>
        <w:t>El sistema se diseña para un usuario de mostrador que necesita realizar consultas y registrar operaciones con pocos pasos. La facilidad de uso y la aceptación del personal no se han medido; deberán revisarse mediante una prueba guiada con usuarios del comercio si el caso se valida fuera del aula.</w:t>
      </w:r>
    </w:p>
    <w:p>
      <w:pPr>
        <w:pStyle w:val="Heading3"/>
        <w:keepNext/>
        <w:keepLines/>
      </w:pPr>
      <w:r>
        <w:rPr>
          <w:rFonts w:ascii="Arial" w:hAnsi="Arial" w:eastAsia="Arial"/>
          <w:color w:val="000000"/>
          <w:sz w:val="22"/>
        </w:rPr>
        <w:t>Aspecto económico</w:t>
      </w:r>
    </w:p>
    <w:p>
      <w:r>
        <w:rPr>
          <w:rFonts w:ascii="Arial" w:hAnsi="Arial" w:eastAsia="Arial"/>
          <w:color w:val="000000"/>
          <w:sz w:val="22"/>
        </w:rPr>
        <w:t>Las Mipyme representaron el 99,3 % de las empresas formales del país en 2024 y las microempresas el 93,8 %. Esta composición aporta contexto para estudiar herramientas de gestión accesibles; no demuestra una necesidad particular de Bodega Norte, que es un caso simulado [1].</w:t>
      </w:r>
    </w:p>
    <w:p>
      <w:pPr>
        <w:pStyle w:val="Heading3"/>
        <w:keepNext/>
        <w:keepLines/>
      </w:pPr>
      <w:r>
        <w:rPr>
          <w:rFonts w:ascii="Arial" w:hAnsi="Arial" w:eastAsia="Arial"/>
          <w:color w:val="000000"/>
          <w:sz w:val="22"/>
        </w:rPr>
        <w:t>Aspecto político y normativo</w:t>
      </w:r>
    </w:p>
    <w:p>
      <w:r>
        <w:rPr>
          <w:rFonts w:ascii="Arial" w:hAnsi="Arial" w:eastAsia="Arial"/>
          <w:color w:val="000000"/>
          <w:sz w:val="22"/>
        </w:rPr>
        <w:t>Si una versión futura tratara datos personales, deberá atender la Ley N.° 29733 y el reglamento vigente aprobado por el Decreto Supremo N.° 016-2024-JUS. La Autoridad Nacional de Protección de Datos Personales informa que dicho reglamento rige desde el 31 de marzo de 2025 [2]. El prototipo usa registros ficticios. Se implementaron autenticación, roles y auditoría; su operación remota sigue pendiente de validar.</w:t>
      </w:r>
    </w:p>
    <w:p>
      <w:pPr>
        <w:pStyle w:val="Heading3"/>
        <w:keepNext/>
        <w:keepLines/>
      </w:pPr>
      <w:r>
        <w:rPr>
          <w:rFonts w:ascii="Arial" w:hAnsi="Arial" w:eastAsia="Arial"/>
          <w:color w:val="000000"/>
          <w:sz w:val="22"/>
        </w:rPr>
        <w:t>Aspecto tecnológico</w:t>
      </w:r>
    </w:p>
    <w:p>
      <w:r>
        <w:rPr>
          <w:rFonts w:ascii="Arial" w:hAnsi="Arial" w:eastAsia="Arial"/>
          <w:color w:val="000000"/>
          <w:sz w:val="22"/>
        </w:rPr>
        <w:t>El INEI publica indicadores sobre tecnologías de información en empresas, útiles para contextualizar la adopción digital sin extrapolar sus resultados a una bodega específica [3]. Por ello, el proyecto considera una demostración local y una arquitectura con backend MVC y Supabase PostgreSQL, cuya configuración se explica por separado.</w:t>
      </w:r>
    </w:p>
    <w:p>
      <w:pPr>
        <w:pStyle w:val="Heading3"/>
        <w:keepNext/>
        <w:keepLines/>
      </w:pPr>
      <w:r>
        <w:rPr>
          <w:rFonts w:ascii="Arial" w:hAnsi="Arial" w:eastAsia="Arial"/>
          <w:color w:val="000000"/>
          <w:sz w:val="22"/>
        </w:rPr>
        <w:t>Aspecto ecológico</w:t>
      </w:r>
    </w:p>
    <w:p>
      <w:r>
        <w:rPr>
          <w:rFonts w:ascii="Arial" w:hAnsi="Arial" w:eastAsia="Arial"/>
          <w:color w:val="000000"/>
          <w:sz w:val="22"/>
        </w:rPr>
        <w:t>El proyecto puede ejecutarse en equipos existentes y no requiere hardware especializado para la demostración. Los equipos electrónicos que lleguen al final de su vida útil deben gestionarse conforme al régimen peruano de residuos de aparatos eléctricos y electrónicos [4]. No se atribuye al prototipo una reducción ambiental medida.</w:t>
      </w:r>
    </w:p>
    <w:p>
      <w:pPr>
        <w:pStyle w:val="Heading2"/>
        <w:keepNext/>
        <w:keepLines/>
      </w:pPr>
      <w:r>
        <w:rPr>
          <w:rFonts w:ascii="Arial" w:hAnsi="Arial" w:eastAsia="Arial"/>
          <w:color w:val="000000"/>
          <w:sz w:val="22"/>
        </w:rPr>
        <w:t>1.4 Justificación</w:t>
      </w:r>
    </w:p>
    <w:p>
      <w:r>
        <w:rPr>
          <w:rFonts w:ascii="Arial" w:hAnsi="Arial" w:eastAsia="Arial"/>
          <w:color w:val="000000"/>
          <w:sz w:val="22"/>
        </w:rPr>
        <w:t>La propuesta concentra catálogo, existencias y ventas en una solución que permite mostrar cómo se relacionan esas operaciones. Desde el punto de vista técnico, separar interfaz, lógica del backend y persistencia facilita revisar y mantener los componentes. Desde el punto de vista formativo, el caso permite aplicar análisis, desarrollo, integración, pruebas y documentación sin usar datos de un negocio real.</w:t>
      </w:r>
    </w:p>
    <w:p>
      <w:r>
        <w:rPr>
          <w:rFonts w:ascii="Arial" w:hAnsi="Arial" w:eastAsia="Arial"/>
          <w:color w:val="000000"/>
          <w:sz w:val="22"/>
        </w:rPr>
        <w:t>El beneficio esperado es facilitar la consulta y reducir inconsistencias dentro del flujo de demostración. No se promete una reducción porcentual del tiempo de atención, ahorro económico ni impacto comercial, porque no se cuenta con mediciones comparativas.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Capítulo II Descripción del proyecto</w:t>
      </w:r>
    </w:p>
    <w:p>
      <w:pPr>
        <w:pStyle w:val="Heading2"/>
        <w:keepNext/>
        <w:keepLines/>
      </w:pPr>
      <w:r>
        <w:rPr>
          <w:rFonts w:ascii="Arial" w:hAnsi="Arial" w:eastAsia="Arial"/>
          <w:color w:val="000000"/>
          <w:sz w:val="22"/>
        </w:rPr>
        <w:t>2.1 Descripción general y arquitectura</w:t>
      </w:r>
    </w:p>
    <w:p>
      <w:r>
        <w:rPr>
          <w:rFonts w:ascii="Arial" w:hAnsi="Arial" w:eastAsia="Arial"/>
          <w:color w:val="000000"/>
          <w:sz w:val="22"/>
        </w:rPr>
        <w:t>Bodega Norte es una aplicación web académica con interfaz React, backend ASP.NET Core 8 MVC y persistencia prevista en Supabase PostgreSQL. La vista de demostración también puede usar almacenamiento local del navegador para recorrer el flujo sin servidor. La demo local y el modo conectado a la API son alternativas distintas; sus datos no se sincronizan automáticamente.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Capa</w:t>
            </w:r>
          </w:p>
        </w:tc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Responsabilidad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Interfaz React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Consultar productos, revisar existencias y preparar ventas de demostración.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API ASP.NET Core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Recibir solicitudes, validar reglas de negocio y devolver resultados.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Servicio y repositorio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Organizar casos de uso y acceso a datos.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Supabase PostgreSQL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Guardar categorías, proveedores, productos, ventas y líneas de venta mediante Npgsql.</w:t>
            </w:r>
          </w:p>
        </w:tc>
      </w:tr>
    </w:tbl>
    <w:p/>
    <w:p>
      <w:pPr>
        <w:pStyle w:val="Heading2"/>
        <w:keepNext/>
        <w:keepLines/>
      </w:pPr>
      <w:r>
        <w:rPr>
          <w:rFonts w:ascii="Arial" w:hAnsi="Arial" w:eastAsia="Arial"/>
          <w:color w:val="000000"/>
          <w:sz w:val="22"/>
        </w:rPr>
        <w:t>2.2 Objetivos</w:t>
      </w:r>
    </w:p>
    <w:p>
      <w:pPr>
        <w:pStyle w:val="Heading3"/>
        <w:keepNext/>
        <w:keepLines/>
      </w:pPr>
      <w:r>
        <w:rPr>
          <w:rFonts w:ascii="Arial" w:hAnsi="Arial" w:eastAsia="Arial"/>
          <w:color w:val="000000"/>
          <w:sz w:val="22"/>
        </w:rPr>
        <w:t>Objetivo general</w:t>
      </w:r>
    </w:p>
    <w:p>
      <w:r>
        <w:rPr>
          <w:rFonts w:ascii="Arial" w:hAnsi="Arial" w:eastAsia="Arial"/>
          <w:color w:val="000000"/>
          <w:sz w:val="22"/>
        </w:rPr>
        <w:t>Desarrollar y documentar un prototipo web que centralice el catálogo, permita registrar ventas y actualice las existencias de Bodega Norte en un entorno demostrativo local.</w:t>
      </w:r>
    </w:p>
    <w:p>
      <w:pPr>
        <w:pStyle w:val="Heading3"/>
        <w:keepNext/>
        <w:keepLines/>
      </w:pPr>
      <w:r>
        <w:rPr>
          <w:rFonts w:ascii="Arial" w:hAnsi="Arial" w:eastAsia="Arial"/>
          <w:color w:val="000000"/>
          <w:sz w:val="22"/>
        </w:rPr>
        <w:t>Objetivos específicos e indicadores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Objetivo</w:t>
            </w:r>
          </w:p>
        </w:tc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Indicador de verificación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Gestionar al menos 10 productos de prueba con categoría, precio, stock y mínimo.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Registros de prueba disponibles y campos consultables.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Registrar una venta válida y actualizar el stock de sus productos.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Prueba válida: líneas guardadas y cantidades recalculadas.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Rechazar una venta que exceda las existencias.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Prueba de exceso: validación y stock sin cambios.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Facilitar la consulta de stock bajo y exportar inventario.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Filtro visible y CSV con los campos previstos.</w:t>
            </w:r>
          </w:p>
        </w:tc>
      </w:tr>
    </w:tbl>
    <w:p/>
    <w:p>
      <w:r>
        <w:rPr>
          <w:rFonts w:ascii="Arial" w:hAnsi="Arial" w:eastAsia="Arial"/>
          <w:color w:val="000000"/>
          <w:sz w:val="22"/>
        </w:rPr>
        <w:t>Los indicadores se verifican con datos de demostración. La matriz final distingue las pruebas técnicas realizadas de la aceptación manual pendiente.</w:t>
      </w:r>
    </w:p>
    <w:p>
      <w:pPr>
        <w:pStyle w:val="Heading2"/>
        <w:keepNext/>
        <w:keepLines/>
      </w:pPr>
      <w:r>
        <w:rPr>
          <w:rFonts w:ascii="Arial" w:hAnsi="Arial" w:eastAsia="Arial"/>
          <w:color w:val="000000"/>
          <w:sz w:val="22"/>
        </w:rPr>
        <w:t>2.3 Alcance</w:t>
      </w:r>
    </w:p>
    <w:p>
      <w:pPr>
        <w:pStyle w:val="Heading3"/>
        <w:keepNext/>
        <w:keepLines/>
      </w:pPr>
      <w:r>
        <w:rPr>
          <w:rFonts w:ascii="Arial" w:hAnsi="Arial" w:eastAsia="Arial"/>
          <w:color w:val="000000"/>
          <w:sz w:val="22"/>
        </w:rPr>
        <w:t>Incluye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Catálogo e inventario con búsqueda y referencia al stock mínimo.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Punto de venta demostrativo con carrito, cantidades y medios de pago simulados.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Actualización transaccional de stock y almacenamiento de venta y líneas en la API.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Indicadores de demostración, exportación CSV, esquema SQL, datos de ejemplo, diagramas, código y manuales.</w:t>
      </w:r>
    </w:p>
    <w:p>
      <w:pPr>
        <w:pStyle w:val="Heading3"/>
        <w:keepNext/>
        <w:keepLines/>
      </w:pPr>
      <w:r>
        <w:rPr>
          <w:rFonts w:ascii="Arial" w:hAnsi="Arial" w:eastAsia="Arial"/>
          <w:color w:val="000000"/>
          <w:sz w:val="22"/>
        </w:rPr>
        <w:t>Fuera del alcance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Operación productiva, despliegue público o conexión a una empresa real.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Multi-sucursal, compras, contabilidad, facturación electrónica, SUNAT y pagos bancarios.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Copias automáticas y operación en una empresa real. El alcance actualizado incluye autenticación, roles, auditoría y exportación de respaldo JSON.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Conexión productiva a IBM Watson Assistant; la ayuda disponible es una demo local.</w:t>
      </w:r>
    </w:p>
    <w:p>
      <w:pPr>
        <w:pStyle w:val="Heading2"/>
        <w:keepNext/>
        <w:keepLines/>
      </w:pPr>
      <w:r>
        <w:rPr>
          <w:rFonts w:ascii="Arial" w:hAnsi="Arial" w:eastAsia="Arial"/>
          <w:color w:val="000000"/>
          <w:sz w:val="22"/>
        </w:rPr>
        <w:t>2.4 Propuesta de valor y sostenibilidad</w:t>
      </w:r>
    </w:p>
    <w:p>
      <w:r>
        <w:rPr>
          <w:rFonts w:ascii="Arial" w:hAnsi="Arial" w:eastAsia="Arial"/>
          <w:color w:val="000000"/>
          <w:sz w:val="22"/>
        </w:rPr>
        <w:t>El valor del proyecto está en adaptar un prototipo editable al caso académico y explicar sus componentes. No se han medido costos, rendimiento ni funciones de proveedores comerciales, por lo que no se afirma superioridad frente a plataformas existentes. No se plantea monetización ni se ha calculado un costo comercial.</w:t>
      </w:r>
    </w:p>
    <w:p>
      <w:r>
        <w:rPr>
          <w:rFonts w:ascii="Arial" w:hAnsi="Arial" w:eastAsia="Arial"/>
          <w:color w:val="000000"/>
          <w:sz w:val="22"/>
        </w:rPr>
        <w:t>Para una posible continuidad se propone reutilizar equipo disponible, mantener datos ficticios en las demostraciones y definir autenticación, respaldos, seguridad y privacidad antes de cualquier uso real.</w:t>
      </w:r>
    </w:p>
    <w:p>
      <w:pPr>
        <w:pStyle w:val="Heading2"/>
        <w:keepNext/>
        <w:keepLines/>
      </w:pPr>
      <w:r>
        <w:rPr>
          <w:rFonts w:ascii="Arial" w:hAnsi="Arial" w:eastAsia="Arial"/>
          <w:color w:val="000000"/>
          <w:sz w:val="22"/>
        </w:rPr>
        <w:t>2.5 Ubicación y entorno</w:t>
      </w:r>
    </w:p>
    <w:p>
      <w:r>
        <w:rPr>
          <w:rFonts w:ascii="Arial" w:hAnsi="Arial" w:eastAsia="Arial"/>
          <w:color w:val="000000"/>
          <w:sz w:val="22"/>
        </w:rPr>
        <w:t>El contexto comercial es una bodega ficticia de Lima Metropolitana; no se consigna dirección ni razón social real. El entorno técnico requiere navegador, Node.js para compilar la interfaz, .NET 8 para el backend y un proyecto Supabase PostgreSQL configurado para persistencia. La guía de instalación detalla los pasos.</w:t>
      </w:r>
    </w:p>
    <w:p>
      <w:pPr>
        <w:pStyle w:val="Heading2"/>
        <w:keepNext/>
        <w:keepLines/>
      </w:pPr>
      <w:r>
        <w:rPr>
          <w:rFonts w:ascii="Arial" w:hAnsi="Arial" w:eastAsia="Arial"/>
          <w:color w:val="000000"/>
          <w:sz w:val="22"/>
        </w:rPr>
        <w:t>2.6 Organización del equipo</w:t>
      </w:r>
    </w:p>
    <w:p>
      <w:r>
        <w:rPr>
          <w:rFonts w:ascii="Arial" w:hAnsi="Arial" w:eastAsia="Arial"/>
          <w:color w:val="000000"/>
          <w:sz w:val="22"/>
        </w:rPr>
        <w:t>La publicación del Grupo 10 identifica a Gonzalo Yoel Choque Becerra como coordinador. Los roles siguientes proceden del Entregable 1 proporcionado y sirven como distribución de referencia; no certifican el historial individual de trabajo.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Rol declarado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Integrante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Responsabilidad de referencia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Líder del proyecto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Gonzalo Yoel Choque Becerra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Coordinar el plan, acuerdos y consolidación del entregable.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Desarrollador frontend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Adrian Alexander Berrocal Villanueva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Organizar interfaz, navegación y componentes visuales.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Responsable de base de datos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Lalo Alessandro Eugenio Montalvo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Revisar esquema, relaciones y persistencia SQL.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Desarrollador backend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Juan Diego Romero Peralta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Organizar API y operaciones de inventario y ventas.</w:t>
            </w:r>
          </w:p>
        </w:tc>
      </w:tr>
    </w:tbl>
    <w:p/>
    <w:p>
      <w:pPr>
        <w:pStyle w:val="Heading2"/>
        <w:keepNext/>
        <w:keepLines/>
      </w:pPr>
      <w:r>
        <w:rPr>
          <w:rFonts w:ascii="Arial" w:hAnsi="Arial" w:eastAsia="Arial"/>
          <w:color w:val="000000"/>
          <w:sz w:val="22"/>
        </w:rPr>
        <w:t>2.7 Beneficiarios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Beneficiario</w:t>
            </w:r>
          </w:p>
        </w:tc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Beneficio esperado, sujeto a validación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Personal de caja o administración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Consultar productos y existencias y registrar ventas en la demo.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Clientes del comercio representado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Podrían recibir atención más ordenada si la solución se valida en un negocio real.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Proveedores del comercio representado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referencia de existencias podría apoyar la planificación de reposición.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Grupo 10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Aplicar y documentar competencias de desarrollo y gestión del proyecto.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Bibliografía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[1] Ministerio de la Producción. Las Mipyme en cifras 2024. OGEIEE, Lima, 2025. https://ogeiee.produce.gob.pe/index.php/en/shortcode/oee-documentos-publicaciones/publicaciones-anuales/item/download/2735_6390d933ea51b8a09fdd4a2dae545f5c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[2] Autoridad Nacional de Protección de Datos Personales. Nuevo Reglamento de Protección de Datos Personales. https://www.gob.pe/institucion/anpd/campanas/128319-nuevo-reglamento-de-proteccion-de-datos-personales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[3] Instituto Nacional de Estadística e Informática. Perú: Tecnologías de Información y Comunicación en las Empresas, 2023. https://www.gob.pe/institucion/inei/informes-publicaciones/7820458-peru-tecnologias-de-informacion-y-comunicacion-en-las-empresas-2023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[4] Ministerio del Ambiente. Decreto Supremo N.° 009-2019-MINAM. https://www.gob.pe/institucion/minam/normas-legales/354138-009-2019-minam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000000"/>
        <w:sz w:val="22"/>
      </w:rPr>
      <w:t xml:space="preserve">EFSR14908 | Página </w:t>
    </w:r>
    <w:r>
      <w:rPr>
        <w:rFonts w:ascii="Arial" w:hAnsi="Arial" w:eastAsia="Arial"/>
        <w:color w:val="000000"/>
        <w:sz w:val="22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000000"/>
        <w:sz w:val="22"/>
      </w:rPr>
      <w:t>BODEGA NORTE |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40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