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
    <w:p>
      <w:pPr>
        <w:pStyle w:val="Title"/>
        <w:jc w:val="center"/>
      </w:pPr>
      <w:r>
        <w:rPr>
          <w:rFonts w:ascii="Arial" w:hAnsi="Arial" w:eastAsia="Arial"/>
          <w:b/>
          <w:color w:val="000000"/>
          <w:sz w:val="22"/>
        </w:rPr>
        <w:t>BODEGA NORTE</w:t>
      </w:r>
    </w:p>
    <w:p>
      <w:pPr>
        <w:jc w:val="center"/>
      </w:pPr>
      <w:r>
        <w:rPr>
          <w:rFonts w:ascii="Arial" w:hAnsi="Arial" w:eastAsia="Arial"/>
          <w:color w:val="000000"/>
          <w:sz w:val="22"/>
        </w:rPr>
        <w:t>Informe de avance del proyecto</w:t>
      </w:r>
    </w:p>
    <w:p>
      <w:pPr>
        <w:jc w:val="center"/>
      </w:pPr>
      <w:r>
        <w:rPr>
          <w:rFonts w:ascii="Arial" w:hAnsi="Arial" w:eastAsia="Arial"/>
          <w:b/>
          <w:color w:val="000000"/>
          <w:sz w:val="22"/>
        </w:rPr>
        <w:t>Experiencias Formativas en Situaciones Reales de Trabajo III (EFSR14908)</w:t>
      </w:r>
    </w:p>
    <w:p>
      <w:pPr>
        <w:jc w:val="center"/>
      </w:pPr>
      <w:r>
        <w:rPr>
          <w:rFonts w:ascii="Arial" w:hAnsi="Arial" w:eastAsia="Arial"/>
          <w:color w:val="000000"/>
          <w:sz w:val="22"/>
        </w:rPr>
        <w:t>Judith Jenny Jimenez Monago</w:t>
      </w:r>
    </w:p>
    <w:p>
      <w:pPr>
        <w:jc w:val="center"/>
      </w:pPr>
      <w:r>
        <w:rPr>
          <w:rFonts w:ascii="Arial" w:hAnsi="Arial" w:eastAsia="Arial"/>
          <w:color w:val="000000"/>
          <w:sz w:val="22"/>
        </w:rPr>
        <w:t>Ciclo cuarto | Periodo 2026 | Semestre no consignado en los documentos recibidos</w:t>
      </w:r>
    </w:p>
    <w:p>
      <w:pPr>
        <w:jc w:val="center"/>
      </w:pPr>
      <w:r>
        <w:rPr>
          <w:rFonts w:ascii="Arial" w:hAnsi="Arial" w:eastAsia="Arial"/>
          <w:color w:val="000000"/>
          <w:sz w:val="22"/>
        </w:rPr>
        <w:t>Grupo 10</w:t>
      </w:r>
    </w:p>
    <w:p/>
    <w:p>
      <w:pPr>
        <w:jc w:val="left"/>
      </w:pPr>
      <w:r>
        <w:rPr>
          <w:rFonts w:ascii="Arial" w:hAnsi="Arial" w:eastAsia="Arial"/>
          <w:color w:val="000000"/>
          <w:sz w:val="22"/>
        </w:rPr>
        <w:t>Coordinador: Gonzalo Yoel Choque Becerra</w:t>
      </w:r>
    </w:p>
    <w:p>
      <w:r>
        <w:rPr>
          <w:rFonts w:ascii="Arial" w:hAnsi="Arial" w:eastAsia="Arial"/>
          <w:color w:val="000000"/>
          <w:sz w:val="22"/>
        </w:rPr>
        <w:t>Integrantes: Adrian Alexander Berrocal Villanueva; Lalo Alessandro Eugenio Montalvo; Juan Diego Romero Peralta</w:t>
      </w:r>
    </w:p>
    <w:p>
      <w:r>
        <w:rPr>
          <w:rFonts w:ascii="Arial" w:hAnsi="Arial" w:eastAsia="Arial"/>
          <w:color w:val="000000"/>
          <w:sz w:val="22"/>
        </w:rPr>
        <w:t>Fecha de elaboración: 4 de octubre de 2026</w:t>
      </w:r>
    </w:p>
    <w:p>
      <w:r>
        <w:rPr>
          <w:rFonts w:ascii="Arial" w:hAnsi="Arial" w:eastAsia="Arial"/>
          <w:color w:val="000000"/>
          <w:sz w:val="22"/>
        </w:rPr>
        <w:br w:type="page"/>
      </w:r>
    </w:p>
    <w:p>
      <w:pPr>
        <w:pStyle w:val="Heading1"/>
        <w:keepNext/>
        <w:keepLines/>
      </w:pPr>
      <w:r>
        <w:rPr>
          <w:rFonts w:ascii="Arial" w:hAnsi="Arial" w:eastAsia="Arial"/>
          <w:color w:val="000000"/>
          <w:sz w:val="22"/>
        </w:rPr>
        <w:t>1. Estado verificable del prototipo</w:t>
      </w:r>
    </w:p>
    <w:p>
      <w:r>
        <w:rPr>
          <w:rFonts w:ascii="Arial" w:hAnsi="Arial" w:eastAsia="Arial"/>
          <w:color w:val="000000"/>
          <w:sz w:val="22"/>
        </w:rPr>
        <w:t>Este documento describe el estado del código disponible al preparar el paquete, con fecha 4 de octubre de 2026. No certifica que el equipo haya presentado exactamente este avance en la semana 10 ni calcula un porcentaje de ejecución según la rúbrica.</w:t>
      </w:r>
    </w:p>
    <w:tbl>
      <w:tblPr>
        <w:tblStyle w:val="TableGrid"/>
        <w:tblW w:type="auto" w:w="0"/>
        <w:jc w:val="center"/>
        <w:tblLook w:firstColumn="1" w:firstRow="1" w:lastColumn="0" w:lastRow="0" w:noHBand="0" w:noVBand="1" w:val="04A0"/>
      </w:tblPr>
      <w:tblGrid>
        <w:gridCol w:w="2880"/>
        <w:gridCol w:w="2880"/>
        <w:gridCol w:w="2880"/>
      </w:tblGrid>
      <w:tr>
        <w:trPr>
          <w:cantSplit/>
          <w:tblHeader w:val="true"/>
        </w:trPr>
        <w:tc>
          <w:tcPr>
            <w:tcW w:type="dxa" w:w="2880"/>
            <w:shd w:fill="000000"/>
            <w:tcBorders>
              <w:top w:val="single" w:sz="4" w:space="0" w:color="000000"/>
              <w:left w:val="single" w:sz="4" w:space="0" w:color="000000"/>
              <w:bottom w:val="single" w:sz="4" w:space="0" w:color="000000"/>
              <w:right w:val="single" w:sz="4" w:space="0" w:color="000000"/>
              <w:insideH w:val="single" w:sz="4" w:space="0" w:color="000000"/>
              <w:insideV w:val="single" w:sz="4" w:space="0" w:color="000000"/>
            </w:tcBorders>
            <w:tcMar>
              <w:top w:w="80" w:type="dxa"/>
              <w:start w:w="100" w:type="dxa"/>
              <w:bottom w:w="80" w:type="dxa"/>
              <w:end w:w="100" w:type="dxa"/>
            </w:tcMar>
          </w:tcPr>
          <w:p>
            <w:pPr>
              <w:keepNext/>
            </w:pPr>
            <w:r>
              <w:rPr>
                <w:rFonts w:ascii="Arial" w:hAnsi="Arial" w:eastAsia="Arial"/>
                <w:b/>
                <w:color w:val="FFFFFF"/>
                <w:sz w:val="22"/>
              </w:rPr>
              <w:t>Área</w:t>
            </w:r>
          </w:p>
        </w:tc>
        <w:tc>
          <w:tcPr>
            <w:tcW w:type="dxa" w:w="2880"/>
            <w:shd w:fill="000000"/>
            <w:tcBorders>
              <w:top w:val="single" w:sz="4" w:space="0" w:color="000000"/>
              <w:left w:val="single" w:sz="4" w:space="0" w:color="000000"/>
              <w:bottom w:val="single" w:sz="4" w:space="0" w:color="000000"/>
              <w:right w:val="single" w:sz="4" w:space="0" w:color="000000"/>
              <w:insideH w:val="single" w:sz="4" w:space="0" w:color="000000"/>
              <w:insideV w:val="single" w:sz="4" w:space="0" w:color="000000"/>
            </w:tcBorders>
            <w:tcMar>
              <w:top w:w="80" w:type="dxa"/>
              <w:start w:w="100" w:type="dxa"/>
              <w:bottom w:w="80" w:type="dxa"/>
              <w:end w:w="100" w:type="dxa"/>
            </w:tcMar>
          </w:tcPr>
          <w:p>
            <w:pPr>
              <w:keepNext/>
            </w:pPr>
            <w:r>
              <w:rPr>
                <w:rFonts w:ascii="Arial" w:hAnsi="Arial" w:eastAsia="Arial"/>
                <w:b/>
                <w:color w:val="FFFFFF"/>
                <w:sz w:val="22"/>
              </w:rPr>
              <w:t>Estado del código</w:t>
            </w:r>
          </w:p>
        </w:tc>
        <w:tc>
          <w:tcPr>
            <w:tcW w:type="dxa" w:w="2880"/>
            <w:shd w:fill="000000"/>
            <w:tcBorders>
              <w:top w:val="single" w:sz="4" w:space="0" w:color="000000"/>
              <w:left w:val="single" w:sz="4" w:space="0" w:color="000000"/>
              <w:bottom w:val="single" w:sz="4" w:space="0" w:color="000000"/>
              <w:right w:val="single" w:sz="4" w:space="0" w:color="000000"/>
              <w:insideH w:val="single" w:sz="4" w:space="0" w:color="000000"/>
              <w:insideV w:val="single" w:sz="4" w:space="0" w:color="000000"/>
            </w:tcBorders>
            <w:tcMar>
              <w:top w:w="80" w:type="dxa"/>
              <w:start w:w="100" w:type="dxa"/>
              <w:bottom w:w="80" w:type="dxa"/>
              <w:end w:w="100" w:type="dxa"/>
            </w:tcMar>
          </w:tcPr>
          <w:p>
            <w:pPr>
              <w:keepNext/>
            </w:pPr>
            <w:r>
              <w:rPr>
                <w:rFonts w:ascii="Arial" w:hAnsi="Arial" w:eastAsia="Arial"/>
                <w:b/>
                <w:color w:val="FFFFFF"/>
                <w:sz w:val="22"/>
              </w:rPr>
              <w:t>Límite de la evidencia</w:t>
            </w:r>
          </w:p>
        </w:tc>
      </w:tr>
      <w:tr>
        <w:trPr>
          <w:cantSplit/>
        </w:trPr>
        <w:tc>
          <w:tcPr>
            <w:tcW w:type="dxa" w:w="2880"/>
            <w:shd w:fill="FFFFFF"/>
            <w:tcBorders>
              <w:top w:val="single" w:sz="4" w:space="0" w:color="000000"/>
              <w:left w:val="single" w:sz="4" w:space="0" w:color="000000"/>
              <w:bottom w:val="single" w:sz="4" w:space="0" w:color="000000"/>
              <w:right w:val="single" w:sz="4" w:space="0" w:color="000000"/>
              <w:insideH w:val="single" w:sz="4" w:space="0" w:color="000000"/>
              <w:insideV w:val="single" w:sz="4" w:space="0" w:color="000000"/>
            </w:tcBorders>
            <w:tcMar>
              <w:top w:w="80" w:type="dxa"/>
              <w:start w:w="100" w:type="dxa"/>
              <w:bottom w:w="80" w:type="dxa"/>
              <w:end w:w="100" w:type="dxa"/>
            </w:tcMar>
            <w:vAlign w:val="center"/>
          </w:tcPr>
          <w:p>
            <w:r>
              <w:rPr>
                <w:rFonts w:ascii="Arial" w:hAnsi="Arial" w:eastAsia="Arial"/>
                <w:color w:val="000000"/>
                <w:sz w:val="22"/>
              </w:rPr>
              <w:t>Interfaz</w:t>
            </w:r>
          </w:p>
        </w:tc>
        <w:tc>
          <w:tcPr>
            <w:tcW w:type="dxa" w:w="2880"/>
            <w:shd w:fill="FFFFFF"/>
            <w:tcBorders>
              <w:top w:val="single" w:sz="4" w:space="0" w:color="000000"/>
              <w:left w:val="single" w:sz="4" w:space="0" w:color="000000"/>
              <w:bottom w:val="single" w:sz="4" w:space="0" w:color="000000"/>
              <w:right w:val="single" w:sz="4" w:space="0" w:color="000000"/>
              <w:insideH w:val="single" w:sz="4" w:space="0" w:color="000000"/>
              <w:insideV w:val="single" w:sz="4" w:space="0" w:color="000000"/>
            </w:tcBorders>
            <w:tcMar>
              <w:top w:w="80" w:type="dxa"/>
              <w:start w:w="100" w:type="dxa"/>
              <w:bottom w:w="80" w:type="dxa"/>
              <w:end w:w="100" w:type="dxa"/>
            </w:tcMar>
            <w:vAlign w:val="center"/>
          </w:tcPr>
          <w:p>
            <w:r>
              <w:rPr>
                <w:rFonts w:ascii="Arial" w:hAnsi="Arial" w:eastAsia="Arial"/>
                <w:color w:val="000000"/>
                <w:sz w:val="22"/>
              </w:rPr>
              <w:t>Hay vistas para inicio, venta, productos, inventario, reportes y configuración.</w:t>
            </w:r>
          </w:p>
        </w:tc>
        <w:tc>
          <w:tcPr>
            <w:tcW w:type="dxa" w:w="2880"/>
            <w:shd w:fill="FFFFFF"/>
            <w:tcBorders>
              <w:top w:val="single" w:sz="4" w:space="0" w:color="000000"/>
              <w:left w:val="single" w:sz="4" w:space="0" w:color="000000"/>
              <w:bottom w:val="single" w:sz="4" w:space="0" w:color="000000"/>
              <w:right w:val="single" w:sz="4" w:space="0" w:color="000000"/>
              <w:insideH w:val="single" w:sz="4" w:space="0" w:color="000000"/>
              <w:insideV w:val="single" w:sz="4" w:space="0" w:color="000000"/>
            </w:tcBorders>
            <w:tcMar>
              <w:top w:w="80" w:type="dxa"/>
              <w:start w:w="100" w:type="dxa"/>
              <w:bottom w:w="80" w:type="dxa"/>
              <w:end w:w="100" w:type="dxa"/>
            </w:tcMar>
            <w:vAlign w:val="center"/>
          </w:tcPr>
          <w:p>
            <w:r>
              <w:rPr>
                <w:rFonts w:ascii="Arial" w:hAnsi="Arial" w:eastAsia="Arial"/>
                <w:color w:val="000000"/>
                <w:sz w:val="22"/>
              </w:rPr>
              <w:t>Pendiente aceptación manual del Grupo 10.</w:t>
            </w:r>
          </w:p>
        </w:tc>
      </w:tr>
      <w:tr>
        <w:trPr>
          <w:cantSplit/>
        </w:trPr>
        <w:tc>
          <w:tcPr>
            <w:tcW w:type="dxa" w:w="2880"/>
            <w:shd w:fill="FFFFFF"/>
            <w:tcBorders>
              <w:top w:val="single" w:sz="4" w:space="0" w:color="000000"/>
              <w:left w:val="single" w:sz="4" w:space="0" w:color="000000"/>
              <w:bottom w:val="single" w:sz="4" w:space="0" w:color="000000"/>
              <w:right w:val="single" w:sz="4" w:space="0" w:color="000000"/>
              <w:insideH w:val="single" w:sz="4" w:space="0" w:color="000000"/>
              <w:insideV w:val="single" w:sz="4" w:space="0" w:color="000000"/>
            </w:tcBorders>
            <w:tcMar>
              <w:top w:w="80" w:type="dxa"/>
              <w:start w:w="100" w:type="dxa"/>
              <w:bottom w:w="80" w:type="dxa"/>
              <w:end w:w="100" w:type="dxa"/>
            </w:tcMar>
            <w:vAlign w:val="center"/>
          </w:tcPr>
          <w:p>
            <w:r>
              <w:rPr>
                <w:rFonts w:ascii="Arial" w:hAnsi="Arial" w:eastAsia="Arial"/>
                <w:color w:val="000000"/>
                <w:sz w:val="22"/>
              </w:rPr>
              <w:t>Ventas API</w:t>
            </w:r>
          </w:p>
        </w:tc>
        <w:tc>
          <w:tcPr>
            <w:tcW w:type="dxa" w:w="2880"/>
            <w:shd w:fill="FFFFFF"/>
            <w:tcBorders>
              <w:top w:val="single" w:sz="4" w:space="0" w:color="000000"/>
              <w:left w:val="single" w:sz="4" w:space="0" w:color="000000"/>
              <w:bottom w:val="single" w:sz="4" w:space="0" w:color="000000"/>
              <w:right w:val="single" w:sz="4" w:space="0" w:color="000000"/>
              <w:insideH w:val="single" w:sz="4" w:space="0" w:color="000000"/>
              <w:insideV w:val="single" w:sz="4" w:space="0" w:color="000000"/>
            </w:tcBorders>
            <w:tcMar>
              <w:top w:w="80" w:type="dxa"/>
              <w:start w:w="100" w:type="dxa"/>
              <w:bottom w:w="80" w:type="dxa"/>
              <w:end w:w="100" w:type="dxa"/>
            </w:tcMar>
            <w:vAlign w:val="center"/>
          </w:tcPr>
          <w:p>
            <w:r>
              <w:rPr>
                <w:rFonts w:ascii="Arial" w:hAnsi="Arial" w:eastAsia="Arial"/>
                <w:color w:val="000000"/>
                <w:sz w:val="22"/>
              </w:rPr>
              <w:t>El código valida stock y descuenta unidades dentro de una transacción PostgreSQL.</w:t>
            </w:r>
          </w:p>
        </w:tc>
        <w:tc>
          <w:tcPr>
            <w:tcW w:type="dxa" w:w="2880"/>
            <w:shd w:fill="FFFFFF"/>
            <w:tcBorders>
              <w:top w:val="single" w:sz="4" w:space="0" w:color="000000"/>
              <w:left w:val="single" w:sz="4" w:space="0" w:color="000000"/>
              <w:bottom w:val="single" w:sz="4" w:space="0" w:color="000000"/>
              <w:right w:val="single" w:sz="4" w:space="0" w:color="000000"/>
              <w:insideH w:val="single" w:sz="4" w:space="0" w:color="000000"/>
              <w:insideV w:val="single" w:sz="4" w:space="0" w:color="000000"/>
            </w:tcBorders>
            <w:tcMar>
              <w:top w:w="80" w:type="dxa"/>
              <w:start w:w="100" w:type="dxa"/>
              <w:bottom w:w="80" w:type="dxa"/>
              <w:end w:w="100" w:type="dxa"/>
            </w:tcMar>
            <w:vAlign w:val="center"/>
          </w:tcPr>
          <w:p>
            <w:r>
              <w:rPr>
                <w:rFonts w:ascii="Arial" w:hAnsi="Arial" w:eastAsia="Arial"/>
                <w:color w:val="000000"/>
                <w:sz w:val="22"/>
              </w:rPr>
              <w:t>Conexión y prueba remota pendientes de configurar.</w:t>
            </w:r>
          </w:p>
        </w:tc>
      </w:tr>
      <w:tr>
        <w:trPr>
          <w:cantSplit/>
        </w:trPr>
        <w:tc>
          <w:tcPr>
            <w:tcW w:type="dxa" w:w="2880"/>
            <w:shd w:fill="FFFFFF"/>
            <w:tcBorders>
              <w:top w:val="single" w:sz="4" w:space="0" w:color="000000"/>
              <w:left w:val="single" w:sz="4" w:space="0" w:color="000000"/>
              <w:bottom w:val="single" w:sz="4" w:space="0" w:color="000000"/>
              <w:right w:val="single" w:sz="4" w:space="0" w:color="000000"/>
              <w:insideH w:val="single" w:sz="4" w:space="0" w:color="000000"/>
              <w:insideV w:val="single" w:sz="4" w:space="0" w:color="000000"/>
            </w:tcBorders>
            <w:tcMar>
              <w:top w:w="80" w:type="dxa"/>
              <w:start w:w="100" w:type="dxa"/>
              <w:bottom w:w="80" w:type="dxa"/>
              <w:end w:w="100" w:type="dxa"/>
            </w:tcMar>
            <w:vAlign w:val="center"/>
          </w:tcPr>
          <w:p>
            <w:r>
              <w:rPr>
                <w:rFonts w:ascii="Arial" w:hAnsi="Arial" w:eastAsia="Arial"/>
                <w:color w:val="000000"/>
                <w:sz w:val="22"/>
              </w:rPr>
              <w:t>Base de datos</w:t>
            </w:r>
          </w:p>
        </w:tc>
        <w:tc>
          <w:tcPr>
            <w:tcW w:type="dxa" w:w="2880"/>
            <w:shd w:fill="FFFFFF"/>
            <w:tcBorders>
              <w:top w:val="single" w:sz="4" w:space="0" w:color="000000"/>
              <w:left w:val="single" w:sz="4" w:space="0" w:color="000000"/>
              <w:bottom w:val="single" w:sz="4" w:space="0" w:color="000000"/>
              <w:right w:val="single" w:sz="4" w:space="0" w:color="000000"/>
              <w:insideH w:val="single" w:sz="4" w:space="0" w:color="000000"/>
              <w:insideV w:val="single" w:sz="4" w:space="0" w:color="000000"/>
            </w:tcBorders>
            <w:tcMar>
              <w:top w:w="80" w:type="dxa"/>
              <w:start w:w="100" w:type="dxa"/>
              <w:bottom w:w="80" w:type="dxa"/>
              <w:end w:w="100" w:type="dxa"/>
            </w:tcMar>
            <w:vAlign w:val="center"/>
          </w:tcPr>
          <w:p>
            <w:r>
              <w:rPr>
                <w:rFonts w:ascii="Arial" w:hAnsi="Arial" w:eastAsia="Arial"/>
                <w:color w:val="000000"/>
                <w:sz w:val="22"/>
              </w:rPr>
              <w:t>Esquema SQL con categorías, proveedores, productos, ventas y líneas.</w:t>
            </w:r>
          </w:p>
        </w:tc>
        <w:tc>
          <w:tcPr>
            <w:tcW w:type="dxa" w:w="2880"/>
            <w:shd w:fill="FFFFFF"/>
            <w:tcBorders>
              <w:top w:val="single" w:sz="4" w:space="0" w:color="000000"/>
              <w:left w:val="single" w:sz="4" w:space="0" w:color="000000"/>
              <w:bottom w:val="single" w:sz="4" w:space="0" w:color="000000"/>
              <w:right w:val="single" w:sz="4" w:space="0" w:color="000000"/>
              <w:insideH w:val="single" w:sz="4" w:space="0" w:color="000000"/>
              <w:insideV w:val="single" w:sz="4" w:space="0" w:color="000000"/>
            </w:tcBorders>
            <w:tcMar>
              <w:top w:w="80" w:type="dxa"/>
              <w:start w:w="100" w:type="dxa"/>
              <w:bottom w:w="80" w:type="dxa"/>
              <w:end w:w="100" w:type="dxa"/>
            </w:tcMar>
            <w:vAlign w:val="center"/>
          </w:tcPr>
          <w:p>
            <w:r>
              <w:rPr>
                <w:rFonts w:ascii="Arial" w:hAnsi="Arial" w:eastAsia="Arial"/>
                <w:color w:val="000000"/>
                <w:sz w:val="22"/>
              </w:rPr>
              <w:t>Datos de ejemplo; sin uso de una bodega real.</w:t>
            </w:r>
          </w:p>
        </w:tc>
      </w:tr>
      <w:tr>
        <w:trPr>
          <w:cantSplit/>
        </w:trPr>
        <w:tc>
          <w:tcPr>
            <w:tcW w:type="dxa" w:w="2880"/>
            <w:shd w:fill="FFFFFF"/>
            <w:tcBorders>
              <w:top w:val="single" w:sz="4" w:space="0" w:color="000000"/>
              <w:left w:val="single" w:sz="4" w:space="0" w:color="000000"/>
              <w:bottom w:val="single" w:sz="4" w:space="0" w:color="000000"/>
              <w:right w:val="single" w:sz="4" w:space="0" w:color="000000"/>
              <w:insideH w:val="single" w:sz="4" w:space="0" w:color="000000"/>
              <w:insideV w:val="single" w:sz="4" w:space="0" w:color="000000"/>
            </w:tcBorders>
            <w:tcMar>
              <w:top w:w="80" w:type="dxa"/>
              <w:start w:w="100" w:type="dxa"/>
              <w:bottom w:w="80" w:type="dxa"/>
              <w:end w:w="100" w:type="dxa"/>
            </w:tcMar>
            <w:vAlign w:val="center"/>
          </w:tcPr>
          <w:p>
            <w:r>
              <w:rPr>
                <w:rFonts w:ascii="Arial" w:hAnsi="Arial" w:eastAsia="Arial"/>
                <w:color w:val="000000"/>
                <w:sz w:val="22"/>
              </w:rPr>
              <w:t>Reportes</w:t>
            </w:r>
          </w:p>
        </w:tc>
        <w:tc>
          <w:tcPr>
            <w:tcW w:type="dxa" w:w="2880"/>
            <w:shd w:fill="FFFFFF"/>
            <w:tcBorders>
              <w:top w:val="single" w:sz="4" w:space="0" w:color="000000"/>
              <w:left w:val="single" w:sz="4" w:space="0" w:color="000000"/>
              <w:bottom w:val="single" w:sz="4" w:space="0" w:color="000000"/>
              <w:right w:val="single" w:sz="4" w:space="0" w:color="000000"/>
              <w:insideH w:val="single" w:sz="4" w:space="0" w:color="000000"/>
              <w:insideV w:val="single" w:sz="4" w:space="0" w:color="000000"/>
            </w:tcBorders>
            <w:tcMar>
              <w:top w:w="80" w:type="dxa"/>
              <w:start w:w="100" w:type="dxa"/>
              <w:bottom w:w="80" w:type="dxa"/>
              <w:end w:w="100" w:type="dxa"/>
            </w:tcMar>
            <w:vAlign w:val="center"/>
          </w:tcPr>
          <w:p>
            <w:r>
              <w:rPr>
                <w:rFonts w:ascii="Arial" w:hAnsi="Arial" w:eastAsia="Arial"/>
                <w:color w:val="000000"/>
                <w:sz w:val="22"/>
              </w:rPr>
              <w:t>La interfaz calcula reportes por período y exporta inventario, ventas y movimientos a CSV.</w:t>
            </w:r>
          </w:p>
        </w:tc>
        <w:tc>
          <w:tcPr>
            <w:tcW w:type="dxa" w:w="2880"/>
            <w:shd w:fill="FFFFFF"/>
            <w:tcBorders>
              <w:top w:val="single" w:sz="4" w:space="0" w:color="000000"/>
              <w:left w:val="single" w:sz="4" w:space="0" w:color="000000"/>
              <w:bottom w:val="single" w:sz="4" w:space="0" w:color="000000"/>
              <w:right w:val="single" w:sz="4" w:space="0" w:color="000000"/>
              <w:insideH w:val="single" w:sz="4" w:space="0" w:color="000000"/>
              <w:insideV w:val="single" w:sz="4" w:space="0" w:color="000000"/>
            </w:tcBorders>
            <w:tcMar>
              <w:top w:w="80" w:type="dxa"/>
              <w:start w:w="100" w:type="dxa"/>
              <w:bottom w:w="80" w:type="dxa"/>
              <w:end w:w="100" w:type="dxa"/>
            </w:tcMar>
            <w:vAlign w:val="center"/>
          </w:tcPr>
          <w:p>
            <w:r>
              <w:rPr>
                <w:rFonts w:ascii="Arial" w:hAnsi="Arial" w:eastAsia="Arial"/>
                <w:color w:val="000000"/>
                <w:sz w:val="22"/>
              </w:rPr>
              <w:t>Descarga pendiente de prueba visual por el equipo.</w:t>
            </w:r>
          </w:p>
        </w:tc>
      </w:tr>
      <w:tr>
        <w:trPr>
          <w:cantSplit/>
        </w:trPr>
        <w:tc>
          <w:tcPr>
            <w:tcW w:type="dxa" w:w="2880"/>
            <w:shd w:fill="FFFFFF"/>
            <w:tcBorders>
              <w:top w:val="single" w:sz="4" w:space="0" w:color="000000"/>
              <w:left w:val="single" w:sz="4" w:space="0" w:color="000000"/>
              <w:bottom w:val="single" w:sz="4" w:space="0" w:color="000000"/>
              <w:right w:val="single" w:sz="4" w:space="0" w:color="000000"/>
              <w:insideH w:val="single" w:sz="4" w:space="0" w:color="000000"/>
              <w:insideV w:val="single" w:sz="4" w:space="0" w:color="000000"/>
            </w:tcBorders>
            <w:tcMar>
              <w:top w:w="80" w:type="dxa"/>
              <w:start w:w="100" w:type="dxa"/>
              <w:bottom w:w="80" w:type="dxa"/>
              <w:end w:w="100" w:type="dxa"/>
            </w:tcMar>
            <w:vAlign w:val="center"/>
          </w:tcPr>
          <w:p>
            <w:r>
              <w:rPr>
                <w:rFonts w:ascii="Arial" w:hAnsi="Arial" w:eastAsia="Arial"/>
                <w:color w:val="000000"/>
                <w:sz w:val="22"/>
              </w:rPr>
              <w:t>Asistente</w:t>
            </w:r>
          </w:p>
        </w:tc>
        <w:tc>
          <w:tcPr>
            <w:tcW w:type="dxa" w:w="2880"/>
            <w:shd w:fill="FFFFFF"/>
            <w:tcBorders>
              <w:top w:val="single" w:sz="4" w:space="0" w:color="000000"/>
              <w:left w:val="single" w:sz="4" w:space="0" w:color="000000"/>
              <w:bottom w:val="single" w:sz="4" w:space="0" w:color="000000"/>
              <w:right w:val="single" w:sz="4" w:space="0" w:color="000000"/>
              <w:insideH w:val="single" w:sz="4" w:space="0" w:color="000000"/>
              <w:insideV w:val="single" w:sz="4" w:space="0" w:color="000000"/>
            </w:tcBorders>
            <w:tcMar>
              <w:top w:w="80" w:type="dxa"/>
              <w:start w:w="100" w:type="dxa"/>
              <w:bottom w:w="80" w:type="dxa"/>
              <w:end w:w="100" w:type="dxa"/>
            </w:tcMar>
            <w:vAlign w:val="center"/>
          </w:tcPr>
          <w:p>
            <w:r>
              <w:rPr>
                <w:rFonts w:ascii="Arial" w:hAnsi="Arial" w:eastAsia="Arial"/>
                <w:color w:val="000000"/>
                <w:sz w:val="22"/>
              </w:rPr>
              <w:t>La demo local ofrece respuestas de muestra; contrato Watson documentado.</w:t>
            </w:r>
          </w:p>
        </w:tc>
        <w:tc>
          <w:tcPr>
            <w:tcW w:type="dxa" w:w="2880"/>
            <w:shd w:fill="FFFFFF"/>
            <w:tcBorders>
              <w:top w:val="single" w:sz="4" w:space="0" w:color="000000"/>
              <w:left w:val="single" w:sz="4" w:space="0" w:color="000000"/>
              <w:bottom w:val="single" w:sz="4" w:space="0" w:color="000000"/>
              <w:right w:val="single" w:sz="4" w:space="0" w:color="000000"/>
              <w:insideH w:val="single" w:sz="4" w:space="0" w:color="000000"/>
              <w:insideV w:val="single" w:sz="4" w:space="0" w:color="000000"/>
            </w:tcBorders>
            <w:tcMar>
              <w:top w:w="80" w:type="dxa"/>
              <w:start w:w="100" w:type="dxa"/>
              <w:bottom w:w="80" w:type="dxa"/>
              <w:end w:w="100" w:type="dxa"/>
            </w:tcMar>
            <w:vAlign w:val="center"/>
          </w:tcPr>
          <w:p>
            <w:r>
              <w:rPr>
                <w:rFonts w:ascii="Arial" w:hAnsi="Arial" w:eastAsia="Arial"/>
                <w:color w:val="000000"/>
                <w:sz w:val="22"/>
              </w:rPr>
              <w:t>Servicio Watson no conectado.</w:t>
            </w:r>
          </w:p>
        </w:tc>
      </w:tr>
    </w:tbl>
    <w:p/>
    <w:p>
      <w:pPr>
        <w:pStyle w:val="Heading1"/>
        <w:keepNext/>
        <w:keepLines/>
      </w:pPr>
      <w:r>
        <w:rPr>
          <w:rFonts w:ascii="Arial" w:hAnsi="Arial" w:eastAsia="Arial"/>
          <w:color w:val="000000"/>
          <w:sz w:val="22"/>
        </w:rPr>
        <w:t>2. Historias priorizadas</w:t>
      </w:r>
    </w:p>
    <w:tbl>
      <w:tblPr>
        <w:tblStyle w:val="TableGrid"/>
        <w:tblW w:type="auto" w:w="0"/>
        <w:jc w:val="center"/>
        <w:tblLook w:firstColumn="1" w:firstRow="1" w:lastColumn="0" w:lastRow="0" w:noHBand="0" w:noVBand="1" w:val="04A0"/>
      </w:tblPr>
      <w:tblGrid>
        <w:gridCol w:w="2880"/>
        <w:gridCol w:w="2880"/>
        <w:gridCol w:w="2880"/>
      </w:tblGrid>
      <w:tr>
        <w:trPr>
          <w:cantSplit/>
          <w:tblHeader w:val="true"/>
        </w:trPr>
        <w:tc>
          <w:tcPr>
            <w:tcW w:type="dxa" w:w="2880"/>
            <w:shd w:fill="000000"/>
            <w:tcBorders>
              <w:top w:val="single" w:sz="4" w:space="0" w:color="000000"/>
              <w:left w:val="single" w:sz="4" w:space="0" w:color="000000"/>
              <w:bottom w:val="single" w:sz="4" w:space="0" w:color="000000"/>
              <w:right w:val="single" w:sz="4" w:space="0" w:color="000000"/>
              <w:insideH w:val="single" w:sz="4" w:space="0" w:color="000000"/>
              <w:insideV w:val="single" w:sz="4" w:space="0" w:color="000000"/>
            </w:tcBorders>
            <w:tcMar>
              <w:top w:w="80" w:type="dxa"/>
              <w:start w:w="100" w:type="dxa"/>
              <w:bottom w:w="80" w:type="dxa"/>
              <w:end w:w="100" w:type="dxa"/>
            </w:tcMar>
          </w:tcPr>
          <w:p>
            <w:pPr>
              <w:keepNext/>
            </w:pPr>
            <w:r>
              <w:rPr>
                <w:rFonts w:ascii="Arial" w:hAnsi="Arial" w:eastAsia="Arial"/>
                <w:b/>
                <w:color w:val="FFFFFF"/>
                <w:sz w:val="22"/>
              </w:rPr>
              <w:t>Historia</w:t>
            </w:r>
          </w:p>
        </w:tc>
        <w:tc>
          <w:tcPr>
            <w:tcW w:type="dxa" w:w="2880"/>
            <w:shd w:fill="000000"/>
            <w:tcBorders>
              <w:top w:val="single" w:sz="4" w:space="0" w:color="000000"/>
              <w:left w:val="single" w:sz="4" w:space="0" w:color="000000"/>
              <w:bottom w:val="single" w:sz="4" w:space="0" w:color="000000"/>
              <w:right w:val="single" w:sz="4" w:space="0" w:color="000000"/>
              <w:insideH w:val="single" w:sz="4" w:space="0" w:color="000000"/>
              <w:insideV w:val="single" w:sz="4" w:space="0" w:color="000000"/>
            </w:tcBorders>
            <w:tcMar>
              <w:top w:w="80" w:type="dxa"/>
              <w:start w:w="100" w:type="dxa"/>
              <w:bottom w:w="80" w:type="dxa"/>
              <w:end w:w="100" w:type="dxa"/>
            </w:tcMar>
          </w:tcPr>
          <w:p>
            <w:pPr>
              <w:keepNext/>
            </w:pPr>
            <w:r>
              <w:rPr>
                <w:rFonts w:ascii="Arial" w:hAnsi="Arial" w:eastAsia="Arial"/>
                <w:b/>
                <w:color w:val="FFFFFF"/>
                <w:sz w:val="22"/>
              </w:rPr>
              <w:t>Criterio de aceptación</w:t>
            </w:r>
          </w:p>
        </w:tc>
        <w:tc>
          <w:tcPr>
            <w:tcW w:type="dxa" w:w="2880"/>
            <w:shd w:fill="000000"/>
            <w:tcBorders>
              <w:top w:val="single" w:sz="4" w:space="0" w:color="000000"/>
              <w:left w:val="single" w:sz="4" w:space="0" w:color="000000"/>
              <w:bottom w:val="single" w:sz="4" w:space="0" w:color="000000"/>
              <w:right w:val="single" w:sz="4" w:space="0" w:color="000000"/>
              <w:insideH w:val="single" w:sz="4" w:space="0" w:color="000000"/>
              <w:insideV w:val="single" w:sz="4" w:space="0" w:color="000000"/>
            </w:tcBorders>
            <w:tcMar>
              <w:top w:w="80" w:type="dxa"/>
              <w:start w:w="100" w:type="dxa"/>
              <w:bottom w:w="80" w:type="dxa"/>
              <w:end w:w="100" w:type="dxa"/>
            </w:tcMar>
          </w:tcPr>
          <w:p>
            <w:pPr>
              <w:keepNext/>
            </w:pPr>
            <w:r>
              <w:rPr>
                <w:rFonts w:ascii="Arial" w:hAnsi="Arial" w:eastAsia="Arial"/>
                <w:b/>
                <w:color w:val="FFFFFF"/>
                <w:sz w:val="22"/>
              </w:rPr>
              <w:t>Estado</w:t>
            </w:r>
          </w:p>
        </w:tc>
      </w:tr>
      <w:tr>
        <w:trPr>
          <w:cantSplit/>
        </w:trPr>
        <w:tc>
          <w:tcPr>
            <w:tcW w:type="dxa" w:w="2880"/>
            <w:shd w:fill="FFFFFF"/>
            <w:tcBorders>
              <w:top w:val="single" w:sz="4" w:space="0" w:color="000000"/>
              <w:left w:val="single" w:sz="4" w:space="0" w:color="000000"/>
              <w:bottom w:val="single" w:sz="4" w:space="0" w:color="000000"/>
              <w:right w:val="single" w:sz="4" w:space="0" w:color="000000"/>
              <w:insideH w:val="single" w:sz="4" w:space="0" w:color="000000"/>
              <w:insideV w:val="single" w:sz="4" w:space="0" w:color="000000"/>
            </w:tcBorders>
            <w:tcMar>
              <w:top w:w="80" w:type="dxa"/>
              <w:start w:w="100" w:type="dxa"/>
              <w:bottom w:w="80" w:type="dxa"/>
              <w:end w:w="100" w:type="dxa"/>
            </w:tcMar>
            <w:vAlign w:val="center"/>
          </w:tcPr>
          <w:p>
            <w:r>
              <w:rPr>
                <w:rFonts w:ascii="Arial" w:hAnsi="Arial" w:eastAsia="Arial"/>
                <w:color w:val="000000"/>
                <w:sz w:val="22"/>
              </w:rPr>
              <w:t>Consultar productos y existencias.</w:t>
            </w:r>
          </w:p>
        </w:tc>
        <w:tc>
          <w:tcPr>
            <w:tcW w:type="dxa" w:w="2880"/>
            <w:shd w:fill="FFFFFF"/>
            <w:tcBorders>
              <w:top w:val="single" w:sz="4" w:space="0" w:color="000000"/>
              <w:left w:val="single" w:sz="4" w:space="0" w:color="000000"/>
              <w:bottom w:val="single" w:sz="4" w:space="0" w:color="000000"/>
              <w:right w:val="single" w:sz="4" w:space="0" w:color="000000"/>
              <w:insideH w:val="single" w:sz="4" w:space="0" w:color="000000"/>
              <w:insideV w:val="single" w:sz="4" w:space="0" w:color="000000"/>
            </w:tcBorders>
            <w:tcMar>
              <w:top w:w="80" w:type="dxa"/>
              <w:start w:w="100" w:type="dxa"/>
              <w:bottom w:w="80" w:type="dxa"/>
              <w:end w:w="100" w:type="dxa"/>
            </w:tcMar>
            <w:vAlign w:val="center"/>
          </w:tcPr>
          <w:p>
            <w:r>
              <w:rPr>
                <w:rFonts w:ascii="Arial" w:hAnsi="Arial" w:eastAsia="Arial"/>
                <w:color w:val="000000"/>
                <w:sz w:val="22"/>
              </w:rPr>
              <w:t>La vista y `GET /api/products` exponen código, categoría, stock, mínimo y precio.</w:t>
            </w:r>
          </w:p>
        </w:tc>
        <w:tc>
          <w:tcPr>
            <w:tcW w:type="dxa" w:w="2880"/>
            <w:shd w:fill="FFFFFF"/>
            <w:tcBorders>
              <w:top w:val="single" w:sz="4" w:space="0" w:color="000000"/>
              <w:left w:val="single" w:sz="4" w:space="0" w:color="000000"/>
              <w:bottom w:val="single" w:sz="4" w:space="0" w:color="000000"/>
              <w:right w:val="single" w:sz="4" w:space="0" w:color="000000"/>
              <w:insideH w:val="single" w:sz="4" w:space="0" w:color="000000"/>
              <w:insideV w:val="single" w:sz="4" w:space="0" w:color="000000"/>
            </w:tcBorders>
            <w:tcMar>
              <w:top w:w="80" w:type="dxa"/>
              <w:start w:w="100" w:type="dxa"/>
              <w:bottom w:w="80" w:type="dxa"/>
              <w:end w:w="100" w:type="dxa"/>
            </w:tcMar>
            <w:vAlign w:val="center"/>
          </w:tcPr>
          <w:p>
            <w:r>
              <w:rPr>
                <w:rFonts w:ascii="Arial" w:hAnsi="Arial" w:eastAsia="Arial"/>
                <w:color w:val="000000"/>
                <w:sz w:val="22"/>
              </w:rPr>
              <w:t>Implementado; revisión de interfaz pendiente.</w:t>
            </w:r>
          </w:p>
        </w:tc>
      </w:tr>
      <w:tr>
        <w:trPr>
          <w:cantSplit/>
        </w:trPr>
        <w:tc>
          <w:tcPr>
            <w:tcW w:type="dxa" w:w="2880"/>
            <w:shd w:fill="FFFFFF"/>
            <w:tcBorders>
              <w:top w:val="single" w:sz="4" w:space="0" w:color="000000"/>
              <w:left w:val="single" w:sz="4" w:space="0" w:color="000000"/>
              <w:bottom w:val="single" w:sz="4" w:space="0" w:color="000000"/>
              <w:right w:val="single" w:sz="4" w:space="0" w:color="000000"/>
              <w:insideH w:val="single" w:sz="4" w:space="0" w:color="000000"/>
              <w:insideV w:val="single" w:sz="4" w:space="0" w:color="000000"/>
            </w:tcBorders>
            <w:tcMar>
              <w:top w:w="80" w:type="dxa"/>
              <w:start w:w="100" w:type="dxa"/>
              <w:bottom w:w="80" w:type="dxa"/>
              <w:end w:w="100" w:type="dxa"/>
            </w:tcMar>
            <w:vAlign w:val="center"/>
          </w:tcPr>
          <w:p>
            <w:r>
              <w:rPr>
                <w:rFonts w:ascii="Arial" w:hAnsi="Arial" w:eastAsia="Arial"/>
                <w:color w:val="000000"/>
                <w:sz w:val="22"/>
              </w:rPr>
              <w:t>Registrar una venta.</w:t>
            </w:r>
          </w:p>
        </w:tc>
        <w:tc>
          <w:tcPr>
            <w:tcW w:type="dxa" w:w="2880"/>
            <w:shd w:fill="FFFFFF"/>
            <w:tcBorders>
              <w:top w:val="single" w:sz="4" w:space="0" w:color="000000"/>
              <w:left w:val="single" w:sz="4" w:space="0" w:color="000000"/>
              <w:bottom w:val="single" w:sz="4" w:space="0" w:color="000000"/>
              <w:right w:val="single" w:sz="4" w:space="0" w:color="000000"/>
              <w:insideH w:val="single" w:sz="4" w:space="0" w:color="000000"/>
              <w:insideV w:val="single" w:sz="4" w:space="0" w:color="000000"/>
            </w:tcBorders>
            <w:tcMar>
              <w:top w:w="80" w:type="dxa"/>
              <w:start w:w="100" w:type="dxa"/>
              <w:bottom w:w="80" w:type="dxa"/>
              <w:end w:w="100" w:type="dxa"/>
            </w:tcMar>
            <w:vAlign w:val="center"/>
          </w:tcPr>
          <w:p>
            <w:r>
              <w:rPr>
                <w:rFonts w:ascii="Arial" w:hAnsi="Arial" w:eastAsia="Arial"/>
                <w:color w:val="000000"/>
                <w:sz w:val="22"/>
              </w:rPr>
              <w:t>El código API valida los datos, registra líneas y descuenta stock.</w:t>
            </w:r>
          </w:p>
        </w:tc>
        <w:tc>
          <w:tcPr>
            <w:tcW w:type="dxa" w:w="2880"/>
            <w:shd w:fill="FFFFFF"/>
            <w:tcBorders>
              <w:top w:val="single" w:sz="4" w:space="0" w:color="000000"/>
              <w:left w:val="single" w:sz="4" w:space="0" w:color="000000"/>
              <w:bottom w:val="single" w:sz="4" w:space="0" w:color="000000"/>
              <w:right w:val="single" w:sz="4" w:space="0" w:color="000000"/>
              <w:insideH w:val="single" w:sz="4" w:space="0" w:color="000000"/>
              <w:insideV w:val="single" w:sz="4" w:space="0" w:color="000000"/>
            </w:tcBorders>
            <w:tcMar>
              <w:top w:w="80" w:type="dxa"/>
              <w:start w:w="100" w:type="dxa"/>
              <w:bottom w:w="80" w:type="dxa"/>
              <w:end w:w="100" w:type="dxa"/>
            </w:tcMar>
            <w:vAlign w:val="center"/>
          </w:tcPr>
          <w:p>
            <w:r>
              <w:rPr>
                <w:rFonts w:ascii="Arial" w:hAnsi="Arial" w:eastAsia="Arial"/>
                <w:color w:val="000000"/>
                <w:sz w:val="22"/>
              </w:rPr>
              <w:t>Prueba anterior en SQL Server; pendiente validar la migración Supabase.</w:t>
            </w:r>
          </w:p>
        </w:tc>
      </w:tr>
      <w:tr>
        <w:trPr>
          <w:cantSplit/>
        </w:trPr>
        <w:tc>
          <w:tcPr>
            <w:tcW w:type="dxa" w:w="2880"/>
            <w:shd w:fill="FFFFFF"/>
            <w:tcBorders>
              <w:top w:val="single" w:sz="4" w:space="0" w:color="000000"/>
              <w:left w:val="single" w:sz="4" w:space="0" w:color="000000"/>
              <w:bottom w:val="single" w:sz="4" w:space="0" w:color="000000"/>
              <w:right w:val="single" w:sz="4" w:space="0" w:color="000000"/>
              <w:insideH w:val="single" w:sz="4" w:space="0" w:color="000000"/>
              <w:insideV w:val="single" w:sz="4" w:space="0" w:color="000000"/>
            </w:tcBorders>
            <w:tcMar>
              <w:top w:w="80" w:type="dxa"/>
              <w:start w:w="100" w:type="dxa"/>
              <w:bottom w:w="80" w:type="dxa"/>
              <w:end w:w="100" w:type="dxa"/>
            </w:tcMar>
            <w:vAlign w:val="center"/>
          </w:tcPr>
          <w:p>
            <w:r>
              <w:rPr>
                <w:rFonts w:ascii="Arial" w:hAnsi="Arial" w:eastAsia="Arial"/>
                <w:color w:val="000000"/>
                <w:sz w:val="22"/>
              </w:rPr>
              <w:t>Rechazar exceso de venta.</w:t>
            </w:r>
          </w:p>
        </w:tc>
        <w:tc>
          <w:tcPr>
            <w:tcW w:type="dxa" w:w="2880"/>
            <w:shd w:fill="FFFFFF"/>
            <w:tcBorders>
              <w:top w:val="single" w:sz="4" w:space="0" w:color="000000"/>
              <w:left w:val="single" w:sz="4" w:space="0" w:color="000000"/>
              <w:bottom w:val="single" w:sz="4" w:space="0" w:color="000000"/>
              <w:right w:val="single" w:sz="4" w:space="0" w:color="000000"/>
              <w:insideH w:val="single" w:sz="4" w:space="0" w:color="000000"/>
              <w:insideV w:val="single" w:sz="4" w:space="0" w:color="000000"/>
            </w:tcBorders>
            <w:tcMar>
              <w:top w:w="80" w:type="dxa"/>
              <w:start w:w="100" w:type="dxa"/>
              <w:bottom w:w="80" w:type="dxa"/>
              <w:end w:w="100" w:type="dxa"/>
            </w:tcMar>
            <w:vAlign w:val="center"/>
          </w:tcPr>
          <w:p>
            <w:r>
              <w:rPr>
                <w:rFonts w:ascii="Arial" w:hAnsi="Arial" w:eastAsia="Arial"/>
                <w:color w:val="000000"/>
                <w:sz w:val="22"/>
              </w:rPr>
              <w:t>El código API devuelve HTTP 400 y no altera el stock.</w:t>
            </w:r>
          </w:p>
        </w:tc>
        <w:tc>
          <w:tcPr>
            <w:tcW w:type="dxa" w:w="2880"/>
            <w:shd w:fill="FFFFFF"/>
            <w:tcBorders>
              <w:top w:val="single" w:sz="4" w:space="0" w:color="000000"/>
              <w:left w:val="single" w:sz="4" w:space="0" w:color="000000"/>
              <w:bottom w:val="single" w:sz="4" w:space="0" w:color="000000"/>
              <w:right w:val="single" w:sz="4" w:space="0" w:color="000000"/>
              <w:insideH w:val="single" w:sz="4" w:space="0" w:color="000000"/>
              <w:insideV w:val="single" w:sz="4" w:space="0" w:color="000000"/>
            </w:tcBorders>
            <w:tcMar>
              <w:top w:w="80" w:type="dxa"/>
              <w:start w:w="100" w:type="dxa"/>
              <w:bottom w:w="80" w:type="dxa"/>
              <w:end w:w="100" w:type="dxa"/>
            </w:tcMar>
            <w:vAlign w:val="center"/>
          </w:tcPr>
          <w:p>
            <w:r>
              <w:rPr>
                <w:rFonts w:ascii="Arial" w:hAnsi="Arial" w:eastAsia="Arial"/>
                <w:color w:val="000000"/>
                <w:sz w:val="22"/>
              </w:rPr>
              <w:t>Prueba anterior en SQL Server; pendiente validar la migración Supabase.</w:t>
            </w:r>
          </w:p>
        </w:tc>
      </w:tr>
      <w:tr>
        <w:trPr>
          <w:cantSplit/>
        </w:trPr>
        <w:tc>
          <w:tcPr>
            <w:tcW w:type="dxa" w:w="2880"/>
            <w:shd w:fill="FFFFFF"/>
            <w:tcBorders>
              <w:top w:val="single" w:sz="4" w:space="0" w:color="000000"/>
              <w:left w:val="single" w:sz="4" w:space="0" w:color="000000"/>
              <w:bottom w:val="single" w:sz="4" w:space="0" w:color="000000"/>
              <w:right w:val="single" w:sz="4" w:space="0" w:color="000000"/>
              <w:insideH w:val="single" w:sz="4" w:space="0" w:color="000000"/>
              <w:insideV w:val="single" w:sz="4" w:space="0" w:color="000000"/>
            </w:tcBorders>
            <w:tcMar>
              <w:top w:w="80" w:type="dxa"/>
              <w:start w:w="100" w:type="dxa"/>
              <w:bottom w:w="80" w:type="dxa"/>
              <w:end w:w="100" w:type="dxa"/>
            </w:tcMar>
            <w:vAlign w:val="center"/>
          </w:tcPr>
          <w:p>
            <w:r>
              <w:rPr>
                <w:rFonts w:ascii="Arial" w:hAnsi="Arial" w:eastAsia="Arial"/>
                <w:color w:val="000000"/>
                <w:sz w:val="22"/>
              </w:rPr>
              <w:t>Identificar stock bajo.</w:t>
            </w:r>
          </w:p>
        </w:tc>
        <w:tc>
          <w:tcPr>
            <w:tcW w:type="dxa" w:w="2880"/>
            <w:shd w:fill="FFFFFF"/>
            <w:tcBorders>
              <w:top w:val="single" w:sz="4" w:space="0" w:color="000000"/>
              <w:left w:val="single" w:sz="4" w:space="0" w:color="000000"/>
              <w:bottom w:val="single" w:sz="4" w:space="0" w:color="000000"/>
              <w:right w:val="single" w:sz="4" w:space="0" w:color="000000"/>
              <w:insideH w:val="single" w:sz="4" w:space="0" w:color="000000"/>
              <w:insideV w:val="single" w:sz="4" w:space="0" w:color="000000"/>
            </w:tcBorders>
            <w:tcMar>
              <w:top w:w="80" w:type="dxa"/>
              <w:start w:w="100" w:type="dxa"/>
              <w:bottom w:w="80" w:type="dxa"/>
              <w:end w:w="100" w:type="dxa"/>
            </w:tcMar>
            <w:vAlign w:val="center"/>
          </w:tcPr>
          <w:p>
            <w:r>
              <w:rPr>
                <w:rFonts w:ascii="Arial" w:hAnsi="Arial" w:eastAsia="Arial"/>
                <w:color w:val="000000"/>
                <w:sz w:val="22"/>
              </w:rPr>
              <w:t>Se considera bajo cuando stock es menor o igual al mínimo.</w:t>
            </w:r>
          </w:p>
        </w:tc>
        <w:tc>
          <w:tcPr>
            <w:tcW w:type="dxa" w:w="2880"/>
            <w:shd w:fill="FFFFFF"/>
            <w:tcBorders>
              <w:top w:val="single" w:sz="4" w:space="0" w:color="000000"/>
              <w:left w:val="single" w:sz="4" w:space="0" w:color="000000"/>
              <w:bottom w:val="single" w:sz="4" w:space="0" w:color="000000"/>
              <w:right w:val="single" w:sz="4" w:space="0" w:color="000000"/>
              <w:insideH w:val="single" w:sz="4" w:space="0" w:color="000000"/>
              <w:insideV w:val="single" w:sz="4" w:space="0" w:color="000000"/>
            </w:tcBorders>
            <w:tcMar>
              <w:top w:w="80" w:type="dxa"/>
              <w:start w:w="100" w:type="dxa"/>
              <w:bottom w:w="80" w:type="dxa"/>
              <w:end w:w="100" w:type="dxa"/>
            </w:tcMar>
            <w:vAlign w:val="center"/>
          </w:tcPr>
          <w:p>
            <w:r>
              <w:rPr>
                <w:rFonts w:ascii="Arial" w:hAnsi="Arial" w:eastAsia="Arial"/>
                <w:color w:val="000000"/>
                <w:sz w:val="22"/>
              </w:rPr>
              <w:t>Implementado en interfaz; revisión manual pendiente.</w:t>
            </w:r>
          </w:p>
        </w:tc>
      </w:tr>
      <w:tr>
        <w:trPr>
          <w:cantSplit/>
        </w:trPr>
        <w:tc>
          <w:tcPr>
            <w:tcW w:type="dxa" w:w="2880"/>
            <w:shd w:fill="FFFFFF"/>
            <w:tcBorders>
              <w:top w:val="single" w:sz="4" w:space="0" w:color="000000"/>
              <w:left w:val="single" w:sz="4" w:space="0" w:color="000000"/>
              <w:bottom w:val="single" w:sz="4" w:space="0" w:color="000000"/>
              <w:right w:val="single" w:sz="4" w:space="0" w:color="000000"/>
              <w:insideH w:val="single" w:sz="4" w:space="0" w:color="000000"/>
              <w:insideV w:val="single" w:sz="4" w:space="0" w:color="000000"/>
            </w:tcBorders>
            <w:tcMar>
              <w:top w:w="80" w:type="dxa"/>
              <w:start w:w="100" w:type="dxa"/>
              <w:bottom w:w="80" w:type="dxa"/>
              <w:end w:w="100" w:type="dxa"/>
            </w:tcMar>
            <w:vAlign w:val="center"/>
          </w:tcPr>
          <w:p>
            <w:r>
              <w:rPr>
                <w:rFonts w:ascii="Arial" w:hAnsi="Arial" w:eastAsia="Arial"/>
                <w:color w:val="000000"/>
                <w:sz w:val="22"/>
              </w:rPr>
              <w:t>Exportar inventario.</w:t>
            </w:r>
          </w:p>
        </w:tc>
        <w:tc>
          <w:tcPr>
            <w:tcW w:type="dxa" w:w="2880"/>
            <w:shd w:fill="FFFFFF"/>
            <w:tcBorders>
              <w:top w:val="single" w:sz="4" w:space="0" w:color="000000"/>
              <w:left w:val="single" w:sz="4" w:space="0" w:color="000000"/>
              <w:bottom w:val="single" w:sz="4" w:space="0" w:color="000000"/>
              <w:right w:val="single" w:sz="4" w:space="0" w:color="000000"/>
              <w:insideH w:val="single" w:sz="4" w:space="0" w:color="000000"/>
              <w:insideV w:val="single" w:sz="4" w:space="0" w:color="000000"/>
            </w:tcBorders>
            <w:tcMar>
              <w:top w:w="80" w:type="dxa"/>
              <w:start w:w="100" w:type="dxa"/>
              <w:bottom w:w="80" w:type="dxa"/>
              <w:end w:w="100" w:type="dxa"/>
            </w:tcMar>
            <w:vAlign w:val="center"/>
          </w:tcPr>
          <w:p>
            <w:r>
              <w:rPr>
                <w:rFonts w:ascii="Arial" w:hAnsi="Arial" w:eastAsia="Arial"/>
                <w:color w:val="000000"/>
                <w:sz w:val="22"/>
              </w:rPr>
              <w:t>El CSV contiene código, nombre, categoría, stock, mínimo, precio y proveedor.</w:t>
            </w:r>
          </w:p>
        </w:tc>
        <w:tc>
          <w:tcPr>
            <w:tcW w:type="dxa" w:w="2880"/>
            <w:shd w:fill="FFFFFF"/>
            <w:tcBorders>
              <w:top w:val="single" w:sz="4" w:space="0" w:color="000000"/>
              <w:left w:val="single" w:sz="4" w:space="0" w:color="000000"/>
              <w:bottom w:val="single" w:sz="4" w:space="0" w:color="000000"/>
              <w:right w:val="single" w:sz="4" w:space="0" w:color="000000"/>
              <w:insideH w:val="single" w:sz="4" w:space="0" w:color="000000"/>
              <w:insideV w:val="single" w:sz="4" w:space="0" w:color="000000"/>
            </w:tcBorders>
            <w:tcMar>
              <w:top w:w="80" w:type="dxa"/>
              <w:start w:w="100" w:type="dxa"/>
              <w:bottom w:w="80" w:type="dxa"/>
              <w:end w:w="100" w:type="dxa"/>
            </w:tcMar>
            <w:vAlign w:val="center"/>
          </w:tcPr>
          <w:p>
            <w:r>
              <w:rPr>
                <w:rFonts w:ascii="Arial" w:hAnsi="Arial" w:eastAsia="Arial"/>
                <w:color w:val="000000"/>
                <w:sz w:val="22"/>
              </w:rPr>
              <w:t>Incluido en código; aceptación manual pendiente.</w:t>
            </w:r>
          </w:p>
        </w:tc>
      </w:tr>
      <w:tr>
        <w:trPr>
          <w:cantSplit/>
        </w:trPr>
        <w:tc>
          <w:tcPr>
            <w:tcW w:type="dxa" w:w="2880"/>
            <w:shd w:fill="FFFFFF"/>
            <w:tcBorders>
              <w:top w:val="single" w:sz="4" w:space="0" w:color="000000"/>
              <w:left w:val="single" w:sz="4" w:space="0" w:color="000000"/>
              <w:bottom w:val="single" w:sz="4" w:space="0" w:color="000000"/>
              <w:right w:val="single" w:sz="4" w:space="0" w:color="000000"/>
              <w:insideH w:val="single" w:sz="4" w:space="0" w:color="000000"/>
              <w:insideV w:val="single" w:sz="4" w:space="0" w:color="000000"/>
            </w:tcBorders>
            <w:tcMar>
              <w:top w:w="80" w:type="dxa"/>
              <w:start w:w="100" w:type="dxa"/>
              <w:bottom w:w="80" w:type="dxa"/>
              <w:end w:w="100" w:type="dxa"/>
            </w:tcMar>
            <w:vAlign w:val="center"/>
          </w:tcPr>
          <w:p>
            <w:r>
              <w:rPr>
                <w:rFonts w:ascii="Arial" w:hAnsi="Arial" w:eastAsia="Arial"/>
                <w:color w:val="000000"/>
                <w:sz w:val="22"/>
              </w:rPr>
              <w:t>Consultar ayuda.</w:t>
            </w:r>
          </w:p>
        </w:tc>
        <w:tc>
          <w:tcPr>
            <w:tcW w:type="dxa" w:w="2880"/>
            <w:shd w:fill="FFFFFF"/>
            <w:tcBorders>
              <w:top w:val="single" w:sz="4" w:space="0" w:color="000000"/>
              <w:left w:val="single" w:sz="4" w:space="0" w:color="000000"/>
              <w:bottom w:val="single" w:sz="4" w:space="0" w:color="000000"/>
              <w:right w:val="single" w:sz="4" w:space="0" w:color="000000"/>
              <w:insideH w:val="single" w:sz="4" w:space="0" w:color="000000"/>
              <w:insideV w:val="single" w:sz="4" w:space="0" w:color="000000"/>
            </w:tcBorders>
            <w:tcMar>
              <w:top w:w="80" w:type="dxa"/>
              <w:start w:w="100" w:type="dxa"/>
              <w:bottom w:w="80" w:type="dxa"/>
              <w:end w:w="100" w:type="dxa"/>
            </w:tcMar>
            <w:vAlign w:val="center"/>
          </w:tcPr>
          <w:p>
            <w:r>
              <w:rPr>
                <w:rFonts w:ascii="Arial" w:hAnsi="Arial" w:eastAsia="Arial"/>
                <w:color w:val="000000"/>
                <w:sz w:val="22"/>
              </w:rPr>
              <w:t>El asistente local ofrece respuesta de muestra.</w:t>
            </w:r>
          </w:p>
        </w:tc>
        <w:tc>
          <w:tcPr>
            <w:tcW w:type="dxa" w:w="2880"/>
            <w:shd w:fill="FFFFFF"/>
            <w:tcBorders>
              <w:top w:val="single" w:sz="4" w:space="0" w:color="000000"/>
              <w:left w:val="single" w:sz="4" w:space="0" w:color="000000"/>
              <w:bottom w:val="single" w:sz="4" w:space="0" w:color="000000"/>
              <w:right w:val="single" w:sz="4" w:space="0" w:color="000000"/>
              <w:insideH w:val="single" w:sz="4" w:space="0" w:color="000000"/>
              <w:insideV w:val="single" w:sz="4" w:space="0" w:color="000000"/>
            </w:tcBorders>
            <w:tcMar>
              <w:top w:w="80" w:type="dxa"/>
              <w:start w:w="100" w:type="dxa"/>
              <w:bottom w:w="80" w:type="dxa"/>
              <w:end w:w="100" w:type="dxa"/>
            </w:tcMar>
            <w:vAlign w:val="center"/>
          </w:tcPr>
          <w:p>
            <w:r>
              <w:rPr>
                <w:rFonts w:ascii="Arial" w:hAnsi="Arial" w:eastAsia="Arial"/>
                <w:color w:val="000000"/>
                <w:sz w:val="22"/>
              </w:rPr>
              <w:t>Demo local; Watson pendiente.</w:t>
            </w:r>
          </w:p>
        </w:tc>
      </w:tr>
    </w:tbl>
    <w:p/>
    <w:p>
      <w:pPr>
        <w:pStyle w:val="Heading1"/>
        <w:keepNext/>
        <w:keepLines/>
      </w:pPr>
      <w:r>
        <w:rPr>
          <w:rFonts w:ascii="Arial" w:hAnsi="Arial" w:eastAsia="Arial"/>
          <w:color w:val="000000"/>
          <w:sz w:val="22"/>
        </w:rPr>
        <w:t>3. Arquitectura</w:t>
      </w:r>
    </w:p>
    <w:p>
      <w:r>
        <w:rPr>
          <w:rFonts w:ascii="Arial" w:hAnsi="Arial" w:eastAsia="Arial"/>
          <w:color w:val="000000"/>
          <w:sz w:val="22"/>
        </w:rPr>
        <w:t>La aplicación React funciona como vista. Los controladores ASP.NET reciben operaciones; BodegaService valida los casos de uso y BodegaRepository ejecuta consultas y transacciones PostgreSQL con Npgsql. El modo demo utiliza localStorage y no necesita el backend. Ambos modos se documentan por separado.</w:t>
      </w:r>
    </w:p>
    <w:p>
      <w:pPr>
        <w:jc w:val="center"/>
      </w:pPr>
      <w:r>
        <w:rPr>
          <w:rFonts w:ascii="Arial" w:hAnsi="Arial" w:eastAsia="Arial"/>
          <w:color w:val="000000"/>
          <w:sz w:val="22"/>
        </w:rPr>
        <w:drawing>
          <wp:inline xmlns:a="http://schemas.openxmlformats.org/drawingml/2006/main" xmlns:pic="http://schemas.openxmlformats.org/drawingml/2006/picture">
            <wp:extent cx="5577840" cy="2510028"/>
            <wp:docPr id="1" name="Picture 1"/>
            <wp:cNvGraphicFramePr>
              <a:graphicFrameLocks noChangeAspect="1"/>
            </wp:cNvGraphicFramePr>
            <a:graphic>
              <a:graphicData uri="http://schemas.openxmlformats.org/drawingml/2006/picture">
                <pic:pic>
                  <pic:nvPicPr>
                    <pic:cNvPr id="0" name="tmpua4npnws.png"/>
                    <pic:cNvPicPr/>
                  </pic:nvPicPr>
                  <pic:blipFill>
                    <a:blip r:embed="rId9"/>
                    <a:stretch>
                      <a:fillRect/>
                    </a:stretch>
                  </pic:blipFill>
                  <pic:spPr>
                    <a:xfrm>
                      <a:off x="0" y="0"/>
                      <a:ext cx="5577840" cy="2510028"/>
                    </a:xfrm>
                    <a:prstGeom prst="rect"/>
                  </pic:spPr>
                </pic:pic>
              </a:graphicData>
            </a:graphic>
          </wp:inline>
        </w:drawing>
      </w:r>
    </w:p>
    <w:p>
      <w:pPr>
        <w:jc w:val="center"/>
      </w:pPr>
      <w:r>
        <w:rPr>
          <w:rFonts w:ascii="Arial" w:hAnsi="Arial" w:eastAsia="Arial"/>
          <w:i/>
          <w:color w:val="000000"/>
          <w:sz w:val="22"/>
        </w:rPr>
        <w:t>Figura 1. Flujo de componentes</w:t>
      </w:r>
    </w:p>
    <w:p>
      <w:pPr>
        <w:pStyle w:val="Heading1"/>
        <w:keepNext/>
        <w:keepLines/>
      </w:pPr>
      <w:r>
        <w:rPr>
          <w:rFonts w:ascii="Arial" w:hAnsi="Arial" w:eastAsia="Arial"/>
          <w:color w:val="000000"/>
          <w:sz w:val="22"/>
        </w:rPr>
        <w:t>4. Responsabilidades del equipo</w:t>
      </w:r>
    </w:p>
    <w:tbl>
      <w:tblPr>
        <w:tblStyle w:val="TableGrid"/>
        <w:tblW w:type="auto" w:w="0"/>
        <w:jc w:val="center"/>
        <w:tblLook w:firstColumn="1" w:firstRow="1" w:lastColumn="0" w:lastRow="0" w:noHBand="0" w:noVBand="1" w:val="04A0"/>
      </w:tblPr>
      <w:tblGrid>
        <w:gridCol w:w="4320"/>
        <w:gridCol w:w="4320"/>
      </w:tblGrid>
      <w:tr>
        <w:trPr>
          <w:cantSplit/>
          <w:tblHeader w:val="true"/>
        </w:trPr>
        <w:tc>
          <w:tcPr>
            <w:tcW w:type="dxa" w:w="4320"/>
            <w:shd w:fill="000000"/>
            <w:tcBorders>
              <w:top w:val="single" w:sz="4" w:space="0" w:color="000000"/>
              <w:left w:val="single" w:sz="4" w:space="0" w:color="000000"/>
              <w:bottom w:val="single" w:sz="4" w:space="0" w:color="000000"/>
              <w:right w:val="single" w:sz="4" w:space="0" w:color="000000"/>
              <w:insideH w:val="single" w:sz="4" w:space="0" w:color="000000"/>
              <w:insideV w:val="single" w:sz="4" w:space="0" w:color="000000"/>
            </w:tcBorders>
            <w:tcMar>
              <w:top w:w="80" w:type="dxa"/>
              <w:start w:w="100" w:type="dxa"/>
              <w:bottom w:w="80" w:type="dxa"/>
              <w:end w:w="100" w:type="dxa"/>
            </w:tcMar>
          </w:tcPr>
          <w:p>
            <w:pPr>
              <w:keepNext/>
            </w:pPr>
            <w:r>
              <w:rPr>
                <w:rFonts w:ascii="Arial" w:hAnsi="Arial" w:eastAsia="Arial"/>
                <w:b/>
                <w:color w:val="FFFFFF"/>
                <w:sz w:val="22"/>
              </w:rPr>
              <w:t>Rol declarado en el Entregable 1</w:t>
            </w:r>
          </w:p>
        </w:tc>
        <w:tc>
          <w:tcPr>
            <w:tcW w:type="dxa" w:w="4320"/>
            <w:shd w:fill="000000"/>
            <w:tcBorders>
              <w:top w:val="single" w:sz="4" w:space="0" w:color="000000"/>
              <w:left w:val="single" w:sz="4" w:space="0" w:color="000000"/>
              <w:bottom w:val="single" w:sz="4" w:space="0" w:color="000000"/>
              <w:right w:val="single" w:sz="4" w:space="0" w:color="000000"/>
              <w:insideH w:val="single" w:sz="4" w:space="0" w:color="000000"/>
              <w:insideV w:val="single" w:sz="4" w:space="0" w:color="000000"/>
            </w:tcBorders>
            <w:tcMar>
              <w:top w:w="80" w:type="dxa"/>
              <w:start w:w="100" w:type="dxa"/>
              <w:bottom w:w="80" w:type="dxa"/>
              <w:end w:w="100" w:type="dxa"/>
            </w:tcMar>
          </w:tcPr>
          <w:p>
            <w:pPr>
              <w:keepNext/>
            </w:pPr>
            <w:r>
              <w:rPr>
                <w:rFonts w:ascii="Arial" w:hAnsi="Arial" w:eastAsia="Arial"/>
                <w:b/>
                <w:color w:val="FFFFFF"/>
                <w:sz w:val="22"/>
              </w:rPr>
              <w:t>Integrante</w:t>
            </w:r>
          </w:p>
        </w:tc>
      </w:tr>
      <w:tr>
        <w:trPr>
          <w:cantSplit/>
        </w:trPr>
        <w:tc>
          <w:tcPr>
            <w:tcW w:type="dxa" w:w="4320"/>
            <w:shd w:fill="FFFFFF"/>
            <w:tcBorders>
              <w:top w:val="single" w:sz="4" w:space="0" w:color="000000"/>
              <w:left w:val="single" w:sz="4" w:space="0" w:color="000000"/>
              <w:bottom w:val="single" w:sz="4" w:space="0" w:color="000000"/>
              <w:right w:val="single" w:sz="4" w:space="0" w:color="000000"/>
              <w:insideH w:val="single" w:sz="4" w:space="0" w:color="000000"/>
              <w:insideV w:val="single" w:sz="4" w:space="0" w:color="000000"/>
            </w:tcBorders>
            <w:tcMar>
              <w:top w:w="80" w:type="dxa"/>
              <w:start w:w="100" w:type="dxa"/>
              <w:bottom w:w="80" w:type="dxa"/>
              <w:end w:w="100" w:type="dxa"/>
            </w:tcMar>
            <w:vAlign w:val="center"/>
          </w:tcPr>
          <w:p>
            <w:r>
              <w:rPr>
                <w:rFonts w:ascii="Arial" w:hAnsi="Arial" w:eastAsia="Arial"/>
                <w:color w:val="000000"/>
                <w:sz w:val="22"/>
              </w:rPr>
              <w:t>Líder del proyecto</w:t>
            </w:r>
          </w:p>
        </w:tc>
        <w:tc>
          <w:tcPr>
            <w:tcW w:type="dxa" w:w="4320"/>
            <w:shd w:fill="FFFFFF"/>
            <w:tcBorders>
              <w:top w:val="single" w:sz="4" w:space="0" w:color="000000"/>
              <w:left w:val="single" w:sz="4" w:space="0" w:color="000000"/>
              <w:bottom w:val="single" w:sz="4" w:space="0" w:color="000000"/>
              <w:right w:val="single" w:sz="4" w:space="0" w:color="000000"/>
              <w:insideH w:val="single" w:sz="4" w:space="0" w:color="000000"/>
              <w:insideV w:val="single" w:sz="4" w:space="0" w:color="000000"/>
            </w:tcBorders>
            <w:tcMar>
              <w:top w:w="80" w:type="dxa"/>
              <w:start w:w="100" w:type="dxa"/>
              <w:bottom w:w="80" w:type="dxa"/>
              <w:end w:w="100" w:type="dxa"/>
            </w:tcMar>
            <w:vAlign w:val="center"/>
          </w:tcPr>
          <w:p>
            <w:r>
              <w:rPr>
                <w:rFonts w:ascii="Arial" w:hAnsi="Arial" w:eastAsia="Arial"/>
                <w:color w:val="000000"/>
                <w:sz w:val="22"/>
              </w:rPr>
              <w:t>Gonzalo Yoel Choque Becerra</w:t>
            </w:r>
          </w:p>
        </w:tc>
      </w:tr>
      <w:tr>
        <w:trPr>
          <w:cantSplit/>
        </w:trPr>
        <w:tc>
          <w:tcPr>
            <w:tcW w:type="dxa" w:w="4320"/>
            <w:shd w:fill="FFFFFF"/>
            <w:tcBorders>
              <w:top w:val="single" w:sz="4" w:space="0" w:color="000000"/>
              <w:left w:val="single" w:sz="4" w:space="0" w:color="000000"/>
              <w:bottom w:val="single" w:sz="4" w:space="0" w:color="000000"/>
              <w:right w:val="single" w:sz="4" w:space="0" w:color="000000"/>
              <w:insideH w:val="single" w:sz="4" w:space="0" w:color="000000"/>
              <w:insideV w:val="single" w:sz="4" w:space="0" w:color="000000"/>
            </w:tcBorders>
            <w:tcMar>
              <w:top w:w="80" w:type="dxa"/>
              <w:start w:w="100" w:type="dxa"/>
              <w:bottom w:w="80" w:type="dxa"/>
              <w:end w:w="100" w:type="dxa"/>
            </w:tcMar>
            <w:vAlign w:val="center"/>
          </w:tcPr>
          <w:p>
            <w:r>
              <w:rPr>
                <w:rFonts w:ascii="Arial" w:hAnsi="Arial" w:eastAsia="Arial"/>
                <w:color w:val="000000"/>
                <w:sz w:val="22"/>
              </w:rPr>
              <w:t>Desarrollador frontend</w:t>
            </w:r>
          </w:p>
        </w:tc>
        <w:tc>
          <w:tcPr>
            <w:tcW w:type="dxa" w:w="4320"/>
            <w:shd w:fill="FFFFFF"/>
            <w:tcBorders>
              <w:top w:val="single" w:sz="4" w:space="0" w:color="000000"/>
              <w:left w:val="single" w:sz="4" w:space="0" w:color="000000"/>
              <w:bottom w:val="single" w:sz="4" w:space="0" w:color="000000"/>
              <w:right w:val="single" w:sz="4" w:space="0" w:color="000000"/>
              <w:insideH w:val="single" w:sz="4" w:space="0" w:color="000000"/>
              <w:insideV w:val="single" w:sz="4" w:space="0" w:color="000000"/>
            </w:tcBorders>
            <w:tcMar>
              <w:top w:w="80" w:type="dxa"/>
              <w:start w:w="100" w:type="dxa"/>
              <w:bottom w:w="80" w:type="dxa"/>
              <w:end w:w="100" w:type="dxa"/>
            </w:tcMar>
            <w:vAlign w:val="center"/>
          </w:tcPr>
          <w:p>
            <w:r>
              <w:rPr>
                <w:rFonts w:ascii="Arial" w:hAnsi="Arial" w:eastAsia="Arial"/>
                <w:color w:val="000000"/>
                <w:sz w:val="22"/>
              </w:rPr>
              <w:t>Adrian Alexander Berrocal Villanueva</w:t>
            </w:r>
          </w:p>
        </w:tc>
      </w:tr>
      <w:tr>
        <w:trPr>
          <w:cantSplit/>
        </w:trPr>
        <w:tc>
          <w:tcPr>
            <w:tcW w:type="dxa" w:w="4320"/>
            <w:shd w:fill="FFFFFF"/>
            <w:tcBorders>
              <w:top w:val="single" w:sz="4" w:space="0" w:color="000000"/>
              <w:left w:val="single" w:sz="4" w:space="0" w:color="000000"/>
              <w:bottom w:val="single" w:sz="4" w:space="0" w:color="000000"/>
              <w:right w:val="single" w:sz="4" w:space="0" w:color="000000"/>
              <w:insideH w:val="single" w:sz="4" w:space="0" w:color="000000"/>
              <w:insideV w:val="single" w:sz="4" w:space="0" w:color="000000"/>
            </w:tcBorders>
            <w:tcMar>
              <w:top w:w="80" w:type="dxa"/>
              <w:start w:w="100" w:type="dxa"/>
              <w:bottom w:w="80" w:type="dxa"/>
              <w:end w:w="100" w:type="dxa"/>
            </w:tcMar>
            <w:vAlign w:val="center"/>
          </w:tcPr>
          <w:p>
            <w:r>
              <w:rPr>
                <w:rFonts w:ascii="Arial" w:hAnsi="Arial" w:eastAsia="Arial"/>
                <w:color w:val="000000"/>
                <w:sz w:val="22"/>
              </w:rPr>
              <w:t>Responsable de base de datos</w:t>
            </w:r>
          </w:p>
        </w:tc>
        <w:tc>
          <w:tcPr>
            <w:tcW w:type="dxa" w:w="4320"/>
            <w:shd w:fill="FFFFFF"/>
            <w:tcBorders>
              <w:top w:val="single" w:sz="4" w:space="0" w:color="000000"/>
              <w:left w:val="single" w:sz="4" w:space="0" w:color="000000"/>
              <w:bottom w:val="single" w:sz="4" w:space="0" w:color="000000"/>
              <w:right w:val="single" w:sz="4" w:space="0" w:color="000000"/>
              <w:insideH w:val="single" w:sz="4" w:space="0" w:color="000000"/>
              <w:insideV w:val="single" w:sz="4" w:space="0" w:color="000000"/>
            </w:tcBorders>
            <w:tcMar>
              <w:top w:w="80" w:type="dxa"/>
              <w:start w:w="100" w:type="dxa"/>
              <w:bottom w:w="80" w:type="dxa"/>
              <w:end w:w="100" w:type="dxa"/>
            </w:tcMar>
            <w:vAlign w:val="center"/>
          </w:tcPr>
          <w:p>
            <w:r>
              <w:rPr>
                <w:rFonts w:ascii="Arial" w:hAnsi="Arial" w:eastAsia="Arial"/>
                <w:color w:val="000000"/>
                <w:sz w:val="22"/>
              </w:rPr>
              <w:t>Lalo Alessandro Eugenio Montalvo</w:t>
            </w:r>
          </w:p>
        </w:tc>
      </w:tr>
      <w:tr>
        <w:trPr>
          <w:cantSplit/>
        </w:trPr>
        <w:tc>
          <w:tcPr>
            <w:tcW w:type="dxa" w:w="4320"/>
            <w:shd w:fill="FFFFFF"/>
            <w:tcBorders>
              <w:top w:val="single" w:sz="4" w:space="0" w:color="000000"/>
              <w:left w:val="single" w:sz="4" w:space="0" w:color="000000"/>
              <w:bottom w:val="single" w:sz="4" w:space="0" w:color="000000"/>
              <w:right w:val="single" w:sz="4" w:space="0" w:color="000000"/>
              <w:insideH w:val="single" w:sz="4" w:space="0" w:color="000000"/>
              <w:insideV w:val="single" w:sz="4" w:space="0" w:color="000000"/>
            </w:tcBorders>
            <w:tcMar>
              <w:top w:w="80" w:type="dxa"/>
              <w:start w:w="100" w:type="dxa"/>
              <w:bottom w:w="80" w:type="dxa"/>
              <w:end w:w="100" w:type="dxa"/>
            </w:tcMar>
            <w:vAlign w:val="center"/>
          </w:tcPr>
          <w:p>
            <w:r>
              <w:rPr>
                <w:rFonts w:ascii="Arial" w:hAnsi="Arial" w:eastAsia="Arial"/>
                <w:color w:val="000000"/>
                <w:sz w:val="22"/>
              </w:rPr>
              <w:t>Desarrollador backend</w:t>
            </w:r>
          </w:p>
        </w:tc>
        <w:tc>
          <w:tcPr>
            <w:tcW w:type="dxa" w:w="4320"/>
            <w:shd w:fill="FFFFFF"/>
            <w:tcBorders>
              <w:top w:val="single" w:sz="4" w:space="0" w:color="000000"/>
              <w:left w:val="single" w:sz="4" w:space="0" w:color="000000"/>
              <w:bottom w:val="single" w:sz="4" w:space="0" w:color="000000"/>
              <w:right w:val="single" w:sz="4" w:space="0" w:color="000000"/>
              <w:insideH w:val="single" w:sz="4" w:space="0" w:color="000000"/>
              <w:insideV w:val="single" w:sz="4" w:space="0" w:color="000000"/>
            </w:tcBorders>
            <w:tcMar>
              <w:top w:w="80" w:type="dxa"/>
              <w:start w:w="100" w:type="dxa"/>
              <w:bottom w:w="80" w:type="dxa"/>
              <w:end w:w="100" w:type="dxa"/>
            </w:tcMar>
            <w:vAlign w:val="center"/>
          </w:tcPr>
          <w:p>
            <w:r>
              <w:rPr>
                <w:rFonts w:ascii="Arial" w:hAnsi="Arial" w:eastAsia="Arial"/>
                <w:color w:val="000000"/>
                <w:sz w:val="22"/>
              </w:rPr>
              <w:t>Juan Diego Romero Peralta</w:t>
            </w:r>
          </w:p>
        </w:tc>
      </w:tr>
    </w:tbl>
    <w:p/>
    <w:p>
      <w:r>
        <w:rPr>
          <w:rFonts w:ascii="Arial" w:hAnsi="Arial" w:eastAsia="Arial"/>
          <w:color w:val="000000"/>
          <w:sz w:val="22"/>
        </w:rPr>
        <w:t>Los roles provienen del Entregable 1 entregado por el estudiante. Este informe no añade un historial de tareas individuales, actas de reunión ni firmas.</w:t>
      </w:r>
    </w:p>
    <w:p>
      <w:pPr>
        <w:pStyle w:val="Heading1"/>
        <w:keepNext/>
        <w:keepLines/>
      </w:pPr>
      <w:r>
        <w:rPr>
          <w:rFonts w:ascii="Arial" w:hAnsi="Arial" w:eastAsia="Arial"/>
          <w:color w:val="000000"/>
          <w:sz w:val="22"/>
        </w:rPr>
        <w:t>5. Validaciones ejecutadas</w:t>
      </w:r>
    </w:p>
    <w:tbl>
      <w:tblPr>
        <w:tblStyle w:val="TableGrid"/>
        <w:tblW w:type="auto" w:w="0"/>
        <w:jc w:val="center"/>
        <w:tblLook w:firstColumn="1" w:firstRow="1" w:lastColumn="0" w:lastRow="0" w:noHBand="0" w:noVBand="1" w:val="04A0"/>
      </w:tblPr>
      <w:tblGrid>
        <w:gridCol w:w="4320"/>
        <w:gridCol w:w="4320"/>
      </w:tblGrid>
      <w:tr>
        <w:trPr>
          <w:cantSplit/>
          <w:tblHeader w:val="true"/>
        </w:trPr>
        <w:tc>
          <w:tcPr>
            <w:tcW w:type="dxa" w:w="4320"/>
            <w:shd w:fill="000000"/>
            <w:tcBorders>
              <w:top w:val="single" w:sz="4" w:space="0" w:color="000000"/>
              <w:left w:val="single" w:sz="4" w:space="0" w:color="000000"/>
              <w:bottom w:val="single" w:sz="4" w:space="0" w:color="000000"/>
              <w:right w:val="single" w:sz="4" w:space="0" w:color="000000"/>
              <w:insideH w:val="single" w:sz="4" w:space="0" w:color="000000"/>
              <w:insideV w:val="single" w:sz="4" w:space="0" w:color="000000"/>
            </w:tcBorders>
            <w:tcMar>
              <w:top w:w="80" w:type="dxa"/>
              <w:start w:w="100" w:type="dxa"/>
              <w:bottom w:w="80" w:type="dxa"/>
              <w:end w:w="100" w:type="dxa"/>
            </w:tcMar>
          </w:tcPr>
          <w:p>
            <w:pPr>
              <w:keepNext/>
            </w:pPr>
            <w:r>
              <w:rPr>
                <w:rFonts w:ascii="Arial" w:hAnsi="Arial" w:eastAsia="Arial"/>
                <w:b/>
                <w:color w:val="FFFFFF"/>
                <w:sz w:val="22"/>
              </w:rPr>
              <w:t>Validación</w:t>
            </w:r>
          </w:p>
        </w:tc>
        <w:tc>
          <w:tcPr>
            <w:tcW w:type="dxa" w:w="4320"/>
            <w:shd w:fill="000000"/>
            <w:tcBorders>
              <w:top w:val="single" w:sz="4" w:space="0" w:color="000000"/>
              <w:left w:val="single" w:sz="4" w:space="0" w:color="000000"/>
              <w:bottom w:val="single" w:sz="4" w:space="0" w:color="000000"/>
              <w:right w:val="single" w:sz="4" w:space="0" w:color="000000"/>
              <w:insideH w:val="single" w:sz="4" w:space="0" w:color="000000"/>
              <w:insideV w:val="single" w:sz="4" w:space="0" w:color="000000"/>
            </w:tcBorders>
            <w:tcMar>
              <w:top w:w="80" w:type="dxa"/>
              <w:start w:w="100" w:type="dxa"/>
              <w:bottom w:w="80" w:type="dxa"/>
              <w:end w:w="100" w:type="dxa"/>
            </w:tcMar>
          </w:tcPr>
          <w:p>
            <w:pPr>
              <w:keepNext/>
            </w:pPr>
            <w:r>
              <w:rPr>
                <w:rFonts w:ascii="Arial" w:hAnsi="Arial" w:eastAsia="Arial"/>
                <w:b/>
                <w:color w:val="FFFFFF"/>
                <w:sz w:val="22"/>
              </w:rPr>
              <w:t>Resultado</w:t>
            </w:r>
          </w:p>
        </w:tc>
      </w:tr>
      <w:tr>
        <w:trPr>
          <w:cantSplit/>
        </w:trPr>
        <w:tc>
          <w:tcPr>
            <w:tcW w:type="dxa" w:w="4320"/>
            <w:shd w:fill="FFFFFF"/>
            <w:tcBorders>
              <w:top w:val="single" w:sz="4" w:space="0" w:color="000000"/>
              <w:left w:val="single" w:sz="4" w:space="0" w:color="000000"/>
              <w:bottom w:val="single" w:sz="4" w:space="0" w:color="000000"/>
              <w:right w:val="single" w:sz="4" w:space="0" w:color="000000"/>
              <w:insideH w:val="single" w:sz="4" w:space="0" w:color="000000"/>
              <w:insideV w:val="single" w:sz="4" w:space="0" w:color="000000"/>
            </w:tcBorders>
            <w:tcMar>
              <w:top w:w="80" w:type="dxa"/>
              <w:start w:w="100" w:type="dxa"/>
              <w:bottom w:w="80" w:type="dxa"/>
              <w:end w:w="100" w:type="dxa"/>
            </w:tcMar>
            <w:vAlign w:val="center"/>
          </w:tcPr>
          <w:p>
            <w:r>
              <w:rPr>
                <w:rFonts w:ascii="Arial" w:hAnsi="Arial" w:eastAsia="Arial"/>
                <w:color w:val="000000"/>
                <w:sz w:val="22"/>
              </w:rPr>
              <w:t>Frontend: npm run build</w:t>
            </w:r>
          </w:p>
        </w:tc>
        <w:tc>
          <w:tcPr>
            <w:tcW w:type="dxa" w:w="4320"/>
            <w:shd w:fill="FFFFFF"/>
            <w:tcBorders>
              <w:top w:val="single" w:sz="4" w:space="0" w:color="000000"/>
              <w:left w:val="single" w:sz="4" w:space="0" w:color="000000"/>
              <w:bottom w:val="single" w:sz="4" w:space="0" w:color="000000"/>
              <w:right w:val="single" w:sz="4" w:space="0" w:color="000000"/>
              <w:insideH w:val="single" w:sz="4" w:space="0" w:color="000000"/>
              <w:insideV w:val="single" w:sz="4" w:space="0" w:color="000000"/>
            </w:tcBorders>
            <w:tcMar>
              <w:top w:w="80" w:type="dxa"/>
              <w:start w:w="100" w:type="dxa"/>
              <w:bottom w:w="80" w:type="dxa"/>
              <w:end w:w="100" w:type="dxa"/>
            </w:tcMar>
            <w:vAlign w:val="center"/>
          </w:tcPr>
          <w:p>
            <w:r>
              <w:rPr>
                <w:rFonts w:ascii="Arial" w:hAnsi="Arial" w:eastAsia="Arial"/>
                <w:color w:val="000000"/>
                <w:sz w:val="22"/>
              </w:rPr>
              <w:t>Correcto el 28-09-2026; 16 módulos transformados.</w:t>
            </w:r>
          </w:p>
        </w:tc>
      </w:tr>
      <w:tr>
        <w:trPr>
          <w:cantSplit/>
        </w:trPr>
        <w:tc>
          <w:tcPr>
            <w:tcW w:type="dxa" w:w="4320"/>
            <w:shd w:fill="FFFFFF"/>
            <w:tcBorders>
              <w:top w:val="single" w:sz="4" w:space="0" w:color="000000"/>
              <w:left w:val="single" w:sz="4" w:space="0" w:color="000000"/>
              <w:bottom w:val="single" w:sz="4" w:space="0" w:color="000000"/>
              <w:right w:val="single" w:sz="4" w:space="0" w:color="000000"/>
              <w:insideH w:val="single" w:sz="4" w:space="0" w:color="000000"/>
              <w:insideV w:val="single" w:sz="4" w:space="0" w:color="000000"/>
            </w:tcBorders>
            <w:tcMar>
              <w:top w:w="80" w:type="dxa"/>
              <w:start w:w="100" w:type="dxa"/>
              <w:bottom w:w="80" w:type="dxa"/>
              <w:end w:w="100" w:type="dxa"/>
            </w:tcMar>
            <w:vAlign w:val="center"/>
          </w:tcPr>
          <w:p>
            <w:r>
              <w:rPr>
                <w:rFonts w:ascii="Arial" w:hAnsi="Arial" w:eastAsia="Arial"/>
                <w:color w:val="000000"/>
                <w:sz w:val="22"/>
              </w:rPr>
              <w:t>Backend: dotnet build</w:t>
            </w:r>
          </w:p>
        </w:tc>
        <w:tc>
          <w:tcPr>
            <w:tcW w:type="dxa" w:w="4320"/>
            <w:shd w:fill="FFFFFF"/>
            <w:tcBorders>
              <w:top w:val="single" w:sz="4" w:space="0" w:color="000000"/>
              <w:left w:val="single" w:sz="4" w:space="0" w:color="000000"/>
              <w:bottom w:val="single" w:sz="4" w:space="0" w:color="000000"/>
              <w:right w:val="single" w:sz="4" w:space="0" w:color="000000"/>
              <w:insideH w:val="single" w:sz="4" w:space="0" w:color="000000"/>
              <w:insideV w:val="single" w:sz="4" w:space="0" w:color="000000"/>
            </w:tcBorders>
            <w:tcMar>
              <w:top w:w="80" w:type="dxa"/>
              <w:start w:w="100" w:type="dxa"/>
              <w:bottom w:w="80" w:type="dxa"/>
              <w:end w:w="100" w:type="dxa"/>
            </w:tcMar>
            <w:vAlign w:val="center"/>
          </w:tcPr>
          <w:p>
            <w:r>
              <w:rPr>
                <w:rFonts w:ascii="Arial" w:hAnsi="Arial" w:eastAsia="Arial"/>
                <w:color w:val="000000"/>
                <w:sz w:val="22"/>
              </w:rPr>
              <w:t>Correcto el 28-09-2026; cero advertencias y cero errores.</w:t>
            </w:r>
          </w:p>
        </w:tc>
      </w:tr>
      <w:tr>
        <w:trPr>
          <w:cantSplit/>
        </w:trPr>
        <w:tc>
          <w:tcPr>
            <w:tcW w:type="dxa" w:w="4320"/>
            <w:shd w:fill="FFFFFF"/>
            <w:tcBorders>
              <w:top w:val="single" w:sz="4" w:space="0" w:color="000000"/>
              <w:left w:val="single" w:sz="4" w:space="0" w:color="000000"/>
              <w:bottom w:val="single" w:sz="4" w:space="0" w:color="000000"/>
              <w:right w:val="single" w:sz="4" w:space="0" w:color="000000"/>
              <w:insideH w:val="single" w:sz="4" w:space="0" w:color="000000"/>
              <w:insideV w:val="single" w:sz="4" w:space="0" w:color="000000"/>
            </w:tcBorders>
            <w:tcMar>
              <w:top w:w="80" w:type="dxa"/>
              <w:start w:w="100" w:type="dxa"/>
              <w:bottom w:w="80" w:type="dxa"/>
              <w:end w:w="100" w:type="dxa"/>
            </w:tcMar>
            <w:vAlign w:val="center"/>
          </w:tcPr>
          <w:p>
            <w:r>
              <w:rPr>
                <w:rFonts w:ascii="Arial" w:hAnsi="Arial" w:eastAsia="Arial"/>
                <w:color w:val="000000"/>
                <w:sz w:val="22"/>
              </w:rPr>
              <w:t>Venta y descuento de stock</w:t>
            </w:r>
          </w:p>
        </w:tc>
        <w:tc>
          <w:tcPr>
            <w:tcW w:type="dxa" w:w="4320"/>
            <w:shd w:fill="FFFFFF"/>
            <w:tcBorders>
              <w:top w:val="single" w:sz="4" w:space="0" w:color="000000"/>
              <w:left w:val="single" w:sz="4" w:space="0" w:color="000000"/>
              <w:bottom w:val="single" w:sz="4" w:space="0" w:color="000000"/>
              <w:right w:val="single" w:sz="4" w:space="0" w:color="000000"/>
              <w:insideH w:val="single" w:sz="4" w:space="0" w:color="000000"/>
              <w:insideV w:val="single" w:sz="4" w:space="0" w:color="000000"/>
            </w:tcBorders>
            <w:tcMar>
              <w:top w:w="80" w:type="dxa"/>
              <w:start w:w="100" w:type="dxa"/>
              <w:bottom w:w="80" w:type="dxa"/>
              <w:end w:w="100" w:type="dxa"/>
            </w:tcMar>
            <w:vAlign w:val="center"/>
          </w:tcPr>
          <w:p>
            <w:r>
              <w:rPr>
                <w:rFonts w:ascii="Arial" w:hAnsi="Arial" w:eastAsia="Arial"/>
                <w:color w:val="000000"/>
                <w:sz w:val="22"/>
              </w:rPr>
              <w:t>Prueba histórica SQL Server; no valida PostgreSQL.</w:t>
            </w:r>
          </w:p>
        </w:tc>
      </w:tr>
      <w:tr>
        <w:trPr>
          <w:cantSplit/>
        </w:trPr>
        <w:tc>
          <w:tcPr>
            <w:tcW w:type="dxa" w:w="4320"/>
            <w:shd w:fill="FFFFFF"/>
            <w:tcBorders>
              <w:top w:val="single" w:sz="4" w:space="0" w:color="000000"/>
              <w:left w:val="single" w:sz="4" w:space="0" w:color="000000"/>
              <w:bottom w:val="single" w:sz="4" w:space="0" w:color="000000"/>
              <w:right w:val="single" w:sz="4" w:space="0" w:color="000000"/>
              <w:insideH w:val="single" w:sz="4" w:space="0" w:color="000000"/>
              <w:insideV w:val="single" w:sz="4" w:space="0" w:color="000000"/>
            </w:tcBorders>
            <w:tcMar>
              <w:top w:w="80" w:type="dxa"/>
              <w:start w:w="100" w:type="dxa"/>
              <w:bottom w:w="80" w:type="dxa"/>
              <w:end w:w="100" w:type="dxa"/>
            </w:tcMar>
            <w:vAlign w:val="center"/>
          </w:tcPr>
          <w:p>
            <w:r>
              <w:rPr>
                <w:rFonts w:ascii="Arial" w:hAnsi="Arial" w:eastAsia="Arial"/>
                <w:color w:val="000000"/>
                <w:sz w:val="22"/>
              </w:rPr>
              <w:t>Venta por encima del stock</w:t>
            </w:r>
          </w:p>
        </w:tc>
        <w:tc>
          <w:tcPr>
            <w:tcW w:type="dxa" w:w="4320"/>
            <w:shd w:fill="FFFFFF"/>
            <w:tcBorders>
              <w:top w:val="single" w:sz="4" w:space="0" w:color="000000"/>
              <w:left w:val="single" w:sz="4" w:space="0" w:color="000000"/>
              <w:bottom w:val="single" w:sz="4" w:space="0" w:color="000000"/>
              <w:right w:val="single" w:sz="4" w:space="0" w:color="000000"/>
              <w:insideH w:val="single" w:sz="4" w:space="0" w:color="000000"/>
              <w:insideV w:val="single" w:sz="4" w:space="0" w:color="000000"/>
            </w:tcBorders>
            <w:tcMar>
              <w:top w:w="80" w:type="dxa"/>
              <w:start w:w="100" w:type="dxa"/>
              <w:bottom w:w="80" w:type="dxa"/>
              <w:end w:w="100" w:type="dxa"/>
            </w:tcMar>
            <w:vAlign w:val="center"/>
          </w:tcPr>
          <w:p>
            <w:r>
              <w:rPr>
                <w:rFonts w:ascii="Arial" w:hAnsi="Arial" w:eastAsia="Arial"/>
                <w:color w:val="000000"/>
                <w:sz w:val="22"/>
              </w:rPr>
              <w:t>Prueba histórica SQL Server; no valida PostgreSQL.</w:t>
            </w:r>
          </w:p>
        </w:tc>
      </w:tr>
      <w:tr>
        <w:trPr>
          <w:cantSplit/>
        </w:trPr>
        <w:tc>
          <w:tcPr>
            <w:tcW w:type="dxa" w:w="4320"/>
            <w:shd w:fill="FFFFFF"/>
            <w:tcBorders>
              <w:top w:val="single" w:sz="4" w:space="0" w:color="000000"/>
              <w:left w:val="single" w:sz="4" w:space="0" w:color="000000"/>
              <w:bottom w:val="single" w:sz="4" w:space="0" w:color="000000"/>
              <w:right w:val="single" w:sz="4" w:space="0" w:color="000000"/>
              <w:insideH w:val="single" w:sz="4" w:space="0" w:color="000000"/>
              <w:insideV w:val="single" w:sz="4" w:space="0" w:color="000000"/>
            </w:tcBorders>
            <w:tcMar>
              <w:top w:w="80" w:type="dxa"/>
              <w:start w:w="100" w:type="dxa"/>
              <w:bottom w:w="80" w:type="dxa"/>
              <w:end w:w="100" w:type="dxa"/>
            </w:tcMar>
            <w:vAlign w:val="center"/>
          </w:tcPr>
          <w:p>
            <w:r>
              <w:rPr>
                <w:rFonts w:ascii="Arial" w:hAnsi="Arial" w:eastAsia="Arial"/>
                <w:color w:val="000000"/>
                <w:sz w:val="22"/>
              </w:rPr>
              <w:t>Interfaz, responsive, CSV y aceptación de usuario</w:t>
            </w:r>
          </w:p>
        </w:tc>
        <w:tc>
          <w:tcPr>
            <w:tcW w:type="dxa" w:w="4320"/>
            <w:shd w:fill="FFFFFF"/>
            <w:tcBorders>
              <w:top w:val="single" w:sz="4" w:space="0" w:color="000000"/>
              <w:left w:val="single" w:sz="4" w:space="0" w:color="000000"/>
              <w:bottom w:val="single" w:sz="4" w:space="0" w:color="000000"/>
              <w:right w:val="single" w:sz="4" w:space="0" w:color="000000"/>
              <w:insideH w:val="single" w:sz="4" w:space="0" w:color="000000"/>
              <w:insideV w:val="single" w:sz="4" w:space="0" w:color="000000"/>
            </w:tcBorders>
            <w:tcMar>
              <w:top w:w="80" w:type="dxa"/>
              <w:start w:w="100" w:type="dxa"/>
              <w:bottom w:w="80" w:type="dxa"/>
              <w:end w:w="100" w:type="dxa"/>
            </w:tcMar>
            <w:vAlign w:val="center"/>
          </w:tcPr>
          <w:p>
            <w:r>
              <w:rPr>
                <w:rFonts w:ascii="Arial" w:hAnsi="Arial" w:eastAsia="Arial"/>
                <w:color w:val="000000"/>
                <w:sz w:val="22"/>
              </w:rPr>
              <w:t>Pendiente de revisión del Grupo 10.</w:t>
            </w:r>
          </w:p>
        </w:tc>
      </w:tr>
    </w:tbl>
    <w:p/>
    <w:p>
      <w:r>
        <w:rPr>
          <w:rFonts w:ascii="Arial" w:hAnsi="Arial" w:eastAsia="Arial"/>
          <w:color w:val="000000"/>
          <w:sz w:val="22"/>
        </w:rPr>
        <w:t>El registro detallado se encuentra en `docs/evidencias/validacion_tecnica_2026-09-28.md`. La prueba HTTP documentada corresponde a la versión histórica SQL Server. El backend Npgsql actual ya compila, pero su conexión Supabase aún requiere la cadena de conexión del proyecto nuevo.</w:t>
      </w:r>
    </w:p>
    <w:p>
      <w:pPr>
        <w:pStyle w:val="Heading1"/>
        <w:keepNext/>
        <w:keepLines/>
      </w:pPr>
      <w:r>
        <w:rPr>
          <w:rFonts w:ascii="Arial" w:hAnsi="Arial" w:eastAsia="Arial"/>
          <w:color w:val="000000"/>
          <w:sz w:val="22"/>
        </w:rPr>
        <w:t>6. Plan de integración continua</w:t>
      </w:r>
    </w:p>
    <w:p>
      <w:r>
        <w:rPr>
          <w:rFonts w:ascii="Arial" w:hAnsi="Arial" w:eastAsia="Arial"/>
          <w:color w:val="000000"/>
          <w:sz w:val="22"/>
        </w:rPr>
        <w:t>El workflow `.github/workflows/ci.yml` compila los dos modos del frontend, compila la solución .NET y verifica que el programa Java compile. El workflow de GitHub Pages publica solo la demo estática. La prueba HTTP de venta con PostgreSQL queda pendiente de ejecutar contra el proyecto Supabase de desarrollo.</w:t>
      </w:r>
    </w:p>
    <w:p>
      <w:pPr>
        <w:pStyle w:val="Heading1"/>
        <w:keepNext/>
        <w:keepLines/>
      </w:pPr>
      <w:r>
        <w:rPr>
          <w:rFonts w:ascii="Arial" w:hAnsi="Arial" w:eastAsia="Arial"/>
          <w:color w:val="000000"/>
          <w:sz w:val="22"/>
        </w:rPr>
        <w:t>7. Acciones antes de una entrega académica</w:t>
      </w:r>
    </w:p>
    <w:p>
      <w:pPr>
        <w:pStyle w:val="ListBullet"/>
      </w:pPr>
      <w:r>
        <w:rPr>
          <w:rFonts w:ascii="Arial" w:hAnsi="Arial" w:eastAsia="Arial"/>
          <w:color w:val="000000"/>
          <w:sz w:val="22"/>
        </w:rPr>
        <w:t>Revisar los flujos de interfaz y guardar evidencia con ejecutor y fecha reales.</w:t>
      </w:r>
    </w:p>
    <w:p>
      <w:pPr>
        <w:pStyle w:val="ListBullet"/>
      </w:pPr>
      <w:r>
        <w:rPr>
          <w:rFonts w:ascii="Arial" w:hAnsi="Arial" w:eastAsia="Arial"/>
          <w:color w:val="000000"/>
          <w:sz w:val="22"/>
        </w:rPr>
        <w:t>Confirmar el calendario final del curso; el sílabo 2026 y el Anexo 4 Nivel 2 indican semanas distintas.</w:t>
      </w:r>
    </w:p>
    <w:p>
      <w:pPr>
        <w:pStyle w:val="ListBullet"/>
      </w:pPr>
      <w:r>
        <w:rPr>
          <w:rFonts w:ascii="Arial" w:hAnsi="Arial" w:eastAsia="Arial"/>
          <w:color w:val="000000"/>
          <w:sz w:val="22"/>
        </w:rPr>
        <w:t>Validar los roles y los criterios de aceptación con el equipo.</w:t>
      </w:r>
    </w:p>
    <w:p>
      <w:pPr>
        <w:pStyle w:val="ListBullet"/>
      </w:pPr>
      <w:r>
        <w:rPr>
          <w:rFonts w:ascii="Arial" w:hAnsi="Arial" w:eastAsia="Arial"/>
          <w:color w:val="000000"/>
          <w:sz w:val="22"/>
        </w:rPr>
        <w:t>Mantener sin datos personales reales la base de demostración y completar seguridad antes de producción.</w:t>
      </w:r>
    </w:p>
    <w:p>
      <w:pPr>
        <w:pStyle w:val="Heading1"/>
        <w:keepNext/>
        <w:keepLines/>
      </w:pPr>
      <w:r>
        <w:rPr>
          <w:rFonts w:ascii="Arial" w:hAnsi="Arial" w:eastAsia="Arial"/>
          <w:color w:val="000000"/>
          <w:sz w:val="22"/>
        </w:rPr>
        <w:t>Actualización operativa al 04-10-2026</w:t>
      </w:r>
    </w:p>
    <w:p>
      <w:r>
        <w:rPr>
          <w:rFonts w:ascii="Arial" w:hAnsi="Arial" w:eastAsia="Arial"/>
          <w:color w:val="000000"/>
          <w:sz w:val="22"/>
        </w:rPr>
        <w:t>Se implementaron Supabase Auth y permisos administrador/cajero, ajustes con motivo y control de versión, venta con identificador de reintento, anulaciones con devolución única de stock, historial y constancia interna, proveedores y configuración persistentes, auditoría y respaldo JSON. Los reportes usan fecha de Lima y detalles de venta; no se inventan costos históricos.</w:t>
      </w:r>
    </w:p>
    <w:p>
      <w:r>
        <w:rPr>
          <w:rFonts w:ascii="Arial" w:hAnsi="Arial" w:eastAsia="Arial"/>
          <w:color w:val="000000"/>
          <w:sz w:val="22"/>
        </w:rPr>
        <w:t>Validación técnica: 18 pruebas locales aprobadas; frontend y .NET compilan, con cero errores y advertencias en .NET; Java compila. La revisión de navegador se realizó en modo demo. La conexión privada del backend, integración HTTP PostgreSQL, despliegue Render y aceptación del Grupo 10 están pendientes. La evidencia detallada está en docs/evidencias/validacion_tecnica_2026-10-04.md.</w:t>
      </w:r>
    </w:p>
    <w:p>
      <w:pPr>
        <w:pStyle w:val="Heading1"/>
        <w:keepNext/>
        <w:keepLines/>
      </w:pPr>
      <w:r>
        <w:rPr>
          <w:rFonts w:ascii="Arial" w:hAnsi="Arial" w:eastAsia="Arial"/>
          <w:color w:val="000000"/>
          <w:sz w:val="22"/>
        </w:rPr>
        <w:t>8. Evidencias visuales</w:t>
      </w:r>
    </w:p>
    <w:p>
      <w:pPr>
        <w:jc w:val="center"/>
      </w:pPr>
      <w:r>
        <w:rPr>
          <w:rFonts w:ascii="Arial" w:hAnsi="Arial" w:eastAsia="Arial"/>
          <w:color w:val="000000"/>
          <w:sz w:val="22"/>
        </w:rPr>
        <w:drawing>
          <wp:inline xmlns:a="http://schemas.openxmlformats.org/drawingml/2006/main" xmlns:pic="http://schemas.openxmlformats.org/drawingml/2006/picture">
            <wp:extent cx="5577840" cy="3873500"/>
            <wp:docPr id="2" name="Picture 2"/>
            <wp:cNvGraphicFramePr>
              <a:graphicFrameLocks noChangeAspect="1"/>
            </wp:cNvGraphicFramePr>
            <a:graphic>
              <a:graphicData uri="http://schemas.openxmlformats.org/drawingml/2006/picture">
                <pic:pic>
                  <pic:nvPicPr>
                    <pic:cNvPr id="0" name="tmpfxvou6_4.png"/>
                    <pic:cNvPicPr/>
                  </pic:nvPicPr>
                  <pic:blipFill>
                    <a:blip r:embed="rId10"/>
                    <a:stretch>
                      <a:fillRect/>
                    </a:stretch>
                  </pic:blipFill>
                  <pic:spPr>
                    <a:xfrm>
                      <a:off x="0" y="0"/>
                      <a:ext cx="5577840" cy="3873500"/>
                    </a:xfrm>
                    <a:prstGeom prst="rect"/>
                  </pic:spPr>
                </pic:pic>
              </a:graphicData>
            </a:graphic>
          </wp:inline>
        </w:drawing>
      </w:r>
    </w:p>
    <w:p>
      <w:pPr>
        <w:jc w:val="center"/>
      </w:pPr>
      <w:r>
        <w:rPr>
          <w:rFonts w:ascii="Arial" w:hAnsi="Arial" w:eastAsia="Arial"/>
          <w:i/>
          <w:color w:val="000000"/>
          <w:sz w:val="22"/>
        </w:rPr>
        <w:t>Evidencia visual de referencia en escritorio</w:t>
      </w:r>
    </w:p>
    <w:p>
      <w:pPr>
        <w:jc w:val="center"/>
      </w:pPr>
      <w:r>
        <w:rPr>
          <w:rFonts w:ascii="Arial" w:hAnsi="Arial" w:eastAsia="Arial"/>
          <w:color w:val="000000"/>
          <w:sz w:val="22"/>
        </w:rPr>
        <w:drawing>
          <wp:inline xmlns:a="http://schemas.openxmlformats.org/drawingml/2006/main" xmlns:pic="http://schemas.openxmlformats.org/drawingml/2006/picture">
            <wp:extent cx="2926080" cy="6332337"/>
            <wp:docPr id="3" name="Picture 3"/>
            <wp:cNvGraphicFramePr>
              <a:graphicFrameLocks noChangeAspect="1"/>
            </wp:cNvGraphicFramePr>
            <a:graphic>
              <a:graphicData uri="http://schemas.openxmlformats.org/drawingml/2006/picture">
                <pic:pic>
                  <pic:nvPicPr>
                    <pic:cNvPr id="0" name="tmpslkdzms4.png"/>
                    <pic:cNvPicPr/>
                  </pic:nvPicPr>
                  <pic:blipFill>
                    <a:blip r:embed="rId11"/>
                    <a:stretch>
                      <a:fillRect/>
                    </a:stretch>
                  </pic:blipFill>
                  <pic:spPr>
                    <a:xfrm>
                      <a:off x="0" y="0"/>
                      <a:ext cx="2926080" cy="6332337"/>
                    </a:xfrm>
                    <a:prstGeom prst="rect"/>
                  </pic:spPr>
                </pic:pic>
              </a:graphicData>
            </a:graphic>
          </wp:inline>
        </w:drawing>
      </w:r>
    </w:p>
    <w:p>
      <w:pPr>
        <w:jc w:val="center"/>
      </w:pPr>
      <w:r>
        <w:rPr>
          <w:rFonts w:ascii="Arial" w:hAnsi="Arial" w:eastAsia="Arial"/>
          <w:i/>
          <w:color w:val="000000"/>
          <w:sz w:val="22"/>
        </w:rPr>
        <w:t>Evidencia visual de referencia en móvil</w:t>
      </w:r>
    </w:p>
    <w:sectPr w:rsidR="00FC693F" w:rsidRPr="0006063C" w:rsidSect="00034616">
      <w:headerReference w:type="default" r:id="rId12"/>
      <w:footerReference w:type="default" r:id="rId13"/>
      <w:pgSz w:w="11906" w:h="16838"/>
      <w:pgMar w:top="1701" w:right="1417" w:bottom="1701"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Arial" w:hAnsi="Arial" w:eastAsia="Arial"/>
        <w:color w:val="000000"/>
        <w:sz w:val="22"/>
      </w:rPr>
      <w:t xml:space="preserve">EFSR14908 | Página </w:t>
    </w:r>
    <w:r>
      <w:rPr>
        <w:rFonts w:ascii="Arial" w:hAnsi="Arial" w:eastAsia="Arial"/>
        <w:color w:val="000000"/>
        <w:sz w:val="22"/>
      </w:rPr>
      <w:fldChar w:fldCharType="begin"/>
      <w:instrText xml:space="preserve"> PAGE </w:instrText>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Pr>
        <w:rFonts w:ascii="Arial" w:hAnsi="Arial" w:eastAsia="Arial"/>
        <w:color w:val="000000"/>
        <w:sz w:val="22"/>
      </w:rPr>
      <w:t>BODEGA NORTE | EFSR14908</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keepLines/>
      <w:widowControl/>
      <w:spacing w:after="120" w:line="240" w:lineRule="auto"/>
    </w:pPr>
    <w:rPr>
      <w:rFonts w:ascii="Arial" w:hAnsi="Arial" w:eastAsia="Arial"/>
      <w:color w:val="000000"/>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160" w:after="80" w:line="240" w:lineRule="auto"/>
      <w:outlineLvl w:val="0"/>
    </w:pPr>
    <w:rPr>
      <w:rFonts w:asciiTheme="majorHAnsi" w:eastAsiaTheme="majorEastAsia" w:hAnsiTheme="majorHAnsi" w:cstheme="majorBidi" w:ascii="Arial" w:hAnsi="Arial" w:eastAsia="Arial"/>
      <w:b/>
      <w:bCs/>
      <w:color w:val="000000"/>
      <w:sz w:val="22"/>
      <w:szCs w:val="28"/>
    </w:rPr>
  </w:style>
  <w:style w:type="paragraph" w:styleId="Heading2">
    <w:name w:val="heading 2"/>
    <w:basedOn w:val="Normal"/>
    <w:next w:val="Normal"/>
    <w:link w:val="Heading2Char"/>
    <w:uiPriority w:val="9"/>
    <w:unhideWhenUsed/>
    <w:qFormat/>
    <w:rsid w:val="00FC693F"/>
    <w:pPr>
      <w:keepNext/>
      <w:keepLines/>
      <w:spacing w:before="160" w:after="80" w:line="240" w:lineRule="auto"/>
      <w:outlineLvl w:val="1"/>
    </w:pPr>
    <w:rPr>
      <w:rFonts w:asciiTheme="majorHAnsi" w:eastAsiaTheme="majorEastAsia" w:hAnsiTheme="majorHAnsi" w:cstheme="majorBidi" w:ascii="Arial" w:hAnsi="Arial" w:eastAsia="Arial"/>
      <w:b/>
      <w:bCs/>
      <w:color w:val="000000"/>
      <w:sz w:val="22"/>
      <w:szCs w:val="26"/>
    </w:rPr>
  </w:style>
  <w:style w:type="paragraph" w:styleId="Heading3">
    <w:name w:val="heading 3"/>
    <w:basedOn w:val="Normal"/>
    <w:next w:val="Normal"/>
    <w:link w:val="Heading3Char"/>
    <w:uiPriority w:val="9"/>
    <w:unhideWhenUsed/>
    <w:qFormat/>
    <w:rsid w:val="00FC693F"/>
    <w:pPr>
      <w:keepNext/>
      <w:keepLines/>
      <w:spacing w:before="160" w:after="80" w:line="240" w:lineRule="auto"/>
      <w:outlineLvl w:val="2"/>
    </w:pPr>
    <w:rPr>
      <w:rFonts w:asciiTheme="majorHAnsi" w:eastAsiaTheme="majorEastAsia" w:hAnsiTheme="majorHAnsi" w:cstheme="majorBidi" w:ascii="Arial" w:hAnsi="Arial" w:eastAsia="Arial"/>
      <w:b/>
      <w:bCs/>
      <w:color w:val="000000"/>
      <w:sz w:val="2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spacing w:after="80" w:line="240" w:lineRule="auto" w:before="160"/>
      <w:contextualSpacing/>
    </w:pPr>
    <w:rPr>
      <w:rFonts w:asciiTheme="majorHAnsi" w:eastAsiaTheme="majorEastAsia" w:hAnsiTheme="majorHAnsi" w:cstheme="majorBidi" w:ascii="Arial" w:hAnsi="Arial" w:eastAsia="Arial"/>
      <w:b/>
      <w:color w:val="000000"/>
      <w:spacing w:val="5"/>
      <w:kern w:val="28"/>
      <w:sz w:val="2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spacing w:line="240" w:lineRule="auto"/>
      <w:contextualSpacing/>
    </w:pPr>
    <w:rPr>
      <w:rFonts w:ascii="Arial" w:hAnsi="Arial" w:eastAsia="Arial"/>
      <w:color w:val="000000"/>
      <w:sz w:val="22"/>
    </w:rPr>
  </w:style>
  <w:style w:type="paragraph" w:styleId="ListBullet2">
    <w:name w:val="List Bullet 2"/>
    <w:basedOn w:val="Normal"/>
    <w:uiPriority w:val="99"/>
    <w:unhideWhenUsed/>
    <w:rsid w:val="00326F90"/>
    <w:pPr>
      <w:numPr>
        <w:numId w:val="2"/>
      </w:numPr>
      <w:spacing w:line="240" w:lineRule="auto"/>
      <w:contextualSpacing/>
    </w:pPr>
    <w:rPr>
      <w:rFonts w:ascii="Arial" w:hAnsi="Arial" w:eastAsia="Arial"/>
      <w:color w:val="000000"/>
      <w:sz w:val="22"/>
    </w:r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spacing w:line="240" w:lineRule="auto"/>
      <w:contextualSpacing/>
    </w:pPr>
    <w:rPr>
      <w:rFonts w:ascii="Arial" w:hAnsi="Arial" w:eastAsia="Arial"/>
      <w:color w:val="000000"/>
      <w:sz w:val="22"/>
    </w:rPr>
  </w:style>
  <w:style w:type="paragraph" w:styleId="ListNumber2">
    <w:name w:val="List Number 2"/>
    <w:basedOn w:val="Normal"/>
    <w:uiPriority w:val="99"/>
    <w:unhideWhenUsed/>
    <w:rsid w:val="0029639D"/>
    <w:pPr>
      <w:numPr>
        <w:numId w:val="6"/>
      </w:numPr>
      <w:spacing w:line="240" w:lineRule="auto"/>
      <w:contextualSpacing/>
    </w:pPr>
    <w:rPr>
      <w:rFonts w:ascii="Arial" w:hAnsi="Arial" w:eastAsia="Arial"/>
      <w:color w:val="000000"/>
      <w:sz w:val="22"/>
    </w:r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header" Target="header1.xml"/><Relationship Id="rId13"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