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22"/>
        </w:rPr>
        <w:t>BODEGA NORTE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Guía de instalación y puesta en marcha</w:t>
      </w:r>
    </w:p>
    <w:p>
      <w:pPr>
        <w:jc w:val="center"/>
      </w:pPr>
      <w:r>
        <w:rPr>
          <w:rFonts w:ascii="Arial" w:hAnsi="Arial" w:eastAsia="Arial"/>
          <w:b/>
          <w:color w:val="000000"/>
          <w:sz w:val="22"/>
        </w:rPr>
        <w:t>Experiencias Formativas en Situaciones Reales de Trabajo III (EFSR14908)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Judith Jenny Jimenez Monago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Ciclo cuarto | Periodo 2026 | Semestre no consignado en los documentos recibidos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Grupo 10</w:t>
      </w:r>
    </w:p>
    <w:p/>
    <w:p>
      <w:pPr>
        <w:jc w:val="left"/>
      </w:pPr>
      <w:r>
        <w:rPr>
          <w:rFonts w:ascii="Arial" w:hAnsi="Arial" w:eastAsia="Arial"/>
          <w:color w:val="000000"/>
          <w:sz w:val="22"/>
        </w:rPr>
        <w:t>Coordinador: Gonzalo Yoel Choque Becerra</w:t>
      </w:r>
    </w:p>
    <w:p>
      <w:r>
        <w:rPr>
          <w:rFonts w:ascii="Arial" w:hAnsi="Arial" w:eastAsia="Arial"/>
          <w:color w:val="000000"/>
          <w:sz w:val="22"/>
        </w:rPr>
        <w:t>Integrantes: Adrian Alexander Berrocal Villanueva; Lalo Alessandro Eugenio Montalvo; Juan Diego Romero Peralta</w:t>
      </w:r>
    </w:p>
    <w:p>
      <w:r>
        <w:rPr>
          <w:rFonts w:ascii="Arial" w:hAnsi="Arial" w:eastAsia="Arial"/>
          <w:color w:val="000000"/>
          <w:sz w:val="22"/>
        </w:rPr>
        <w:t>Fecha de elaboración: 4 de octubre de 2026</w:t>
      </w:r>
    </w:p>
    <w:p>
      <w:r>
        <w:rPr>
          <w:rFonts w:ascii="Arial" w:hAnsi="Arial" w:eastAsia="Arial"/>
          <w:color w:val="000000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1. Alcance</w:t>
      </w:r>
    </w:p>
    <w:p>
      <w:r>
        <w:rPr>
          <w:rFonts w:ascii="Arial" w:hAnsi="Arial" w:eastAsia="Arial"/>
          <w:color w:val="000000"/>
          <w:sz w:val="22"/>
        </w:rPr>
        <w:t>La guía permite ejecutar el MVP de Bodega Norte en un equipo de desarrollo. La solución incluye una View React alojada por ASP.NET Core MVC, controladores, modelos, reglas de negocio y repositorio Npgsql para Supabase PostgreSQL. También conserva un modo demo con persistencia local del navegador.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2. Requisitos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Windows con Visual Studio, desarrollo ASP.NET y SDK de .NET 8.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Node.js 22 y pnpm 11.19.0.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Navegador actualizado: Chrome, Edge o Firefox.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Proyecto Supabase PostgreSQL y contraseña de base de datos configurada en User Secrets.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Java 17 o superior solo para ejecutar la prueba de integración opcional en una base de desarrollo.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3. Instalación del frontend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Copie o clone la carpeta del proyecto en el equipo.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Abra una terminal en la carpeta EFSR14908_Bodega_Norte.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Ejecute npm install para instalar las dependencias.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Ejecute npm run dev para iniciar el servidor local.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5. Abra la URL indicada por Vite, normalmente http://localhost:5173/.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 Construcción de producción</w:t>
      </w:r>
    </w:p>
    <w:p>
      <w:r>
        <w:rPr>
          <w:rFonts w:ascii="Arial" w:hAnsi="Arial" w:eastAsia="Arial"/>
          <w:color w:val="000000"/>
          <w:sz w:val="22"/>
        </w:rPr>
        <w:t>Para validar que la aplicación puede compilarse, ejecute:</w:t>
      </w:r>
    </w:p>
    <w:p>
      <w:r>
        <w:rPr>
          <w:rFonts w:ascii="Arial" w:hAnsi="Arial" w:eastAsia="Arial"/>
          <w:color w:val="000000"/>
          <w:sz w:val="22"/>
        </w:rPr>
        <w:t>npm run build</w:t>
      </w:r>
    </w:p>
    <w:p>
      <w:r>
        <w:rPr>
          <w:rFonts w:ascii="Arial" w:hAnsi="Arial" w:eastAsia="Arial"/>
          <w:color w:val="000000"/>
          <w:sz w:val="22"/>
        </w:rPr>
        <w:t>El comando debe finalizar sin errores y crear la carpeta dist. Para preparar la aplicación MVC en Visual Studio, use npm run build:visualstudio; los archivos compilados se generan en backend/BodegaNorte.Api/wwwroot.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4.1. Ejecución en Visual Studio y Supabase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Para una base nueva ejecute database/schema.sql, database/upgrade_operations.sql y database/seed.sql, en ese orden. En el proyecto actual la migración ya está aplicada.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En Visual Studio, abra Manage User Secrets para BodegaNorte.Api y agregue ConnectionStrings:BodegaNorte con los datos del Session pooler y la contraseña, Supabase:Url, Supabase:PublishableKey y BootstrapAdminEmail. Confirme el correo del administrador inicial.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Desde la raíz ejecute npm install y npm run build:visualstudio.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Abra backend/BodegaNorte.sln en Visual Studio.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5. Seleccione BodegaNorte.Api y presione F5.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6. Verifique /api/health/ready; confirme su cuenta e ingrese con un rol habilitado para consultar productos.</w:t>
      </w:r>
    </w:p>
    <w:p>
      <w:r>
        <w:rPr>
          <w:rFonts w:ascii="Arial" w:hAnsi="Arial" w:eastAsia="Arial"/>
          <w:color w:val="000000"/>
          <w:sz w:val="22"/>
        </w:rPr>
        <w:t>Formato de la conexión: Host=HOST_DEL_SESSION_POOLER;Port=5432;Database=postgres;Username=USUARIO_DEL_POOLER;Password=TU_CONTRASEÑA;SSL Mode=Require. Reemplace cada campo con los valores del proyecto Supabase; no copie la contraseña en el repositorio.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5. Datos y persistencia</w:t>
      </w:r>
    </w:p>
    <w:p>
      <w:r>
        <w:rPr>
          <w:rFonts w:ascii="Arial" w:hAnsi="Arial" w:eastAsia="Arial"/>
          <w:color w:val="000000"/>
          <w:sz w:val="22"/>
        </w:rPr>
        <w:t>El modo demo guarda datos en bodega-norte:v2:data y migra datos antiguos sin inventar sus fechas o costos. En el modo MVC, los controladores envían las operaciones a BodegaService y BodegaRepository las guarda en Supabase PostgreSQL dentro de transacciones.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Fase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Persistencia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Acción requerida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MVP demostrativo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localStorage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Usar Exportar CSV para respaldar.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MVC con Visual Studio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Supabase PostgreSQL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Aplicar schema.sql y seed.sql, configurar User Secrets y abrir la solución.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Producción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Supabase PostgreSQL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Validar roles y auditoría, guardar la conexión privada y ensayar recuperación antes de operar.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6. Configuración ambiental</w:t>
      </w:r>
    </w:p>
    <w:p>
      <w:r>
        <w:rPr>
          <w:rFonts w:ascii="Arial" w:hAnsi="Arial" w:eastAsia="Arial"/>
          <w:color w:val="000000"/>
          <w:sz w:val="22"/>
        </w:rPr>
        <w:t>Copie .env.example como .env solo si se agregan servicios externos. Nunca coloque claves reales en el repositorio ni en las capturas de la entrega.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Variable sugerida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Uso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VITE_API_MODE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valor supabase activa la View conectada a MVC; demo activa LocalStorage.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VITE_API_BASE_URL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Ruta base de los controladores MVC; por defecto /api.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WATSON_ASSISTANT_ID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Identificador del asistente.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WATSON_APIKEY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Clave privada; usar solo en servidor.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WATSON_SERVICE_URL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Endpoint del servicio conversacional.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7. Ejecución de prueba Java</w:t>
      </w:r>
    </w:p>
    <w:p>
      <w:r>
        <w:rPr>
          <w:rFonts w:ascii="Arial" w:hAnsi="Arial" w:eastAsia="Arial"/>
          <w:color w:val="000000"/>
          <w:sz w:val="22"/>
        </w:rPr>
        <w:t>La prueba de integración está en integration/JavaInventoryIntegrationTest.java. Compile y ejecútela según integration/README.md. El resultado esperado confirma venta registrada y stock actualizado.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8. 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Problema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Solución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npm no reconocido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Instale Node.js y confirme que npm quedó disponible en PATH.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Puerto ocupado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Cierre otro proceso o inicie Vite con un puerto disponible.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demo no guarda o muestra datos actualizados.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Recargue y revise la consola. Exporte CSV como respaldo; localStorage no sustituye una base de datos.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Actualización operativa al 04-10-2026</w:t>
      </w:r>
    </w:p>
    <w:p>
      <w:r>
        <w:rPr>
          <w:rFonts w:ascii="Arial" w:hAnsi="Arial" w:eastAsia="Arial"/>
          <w:color w:val="000000"/>
          <w:sz w:val="22"/>
        </w:rPr>
        <w:t>Se implementaron Supabase Auth y permisos administrador/cajero, ajustes con motivo y control de versión, venta con identificador de reintento, anulaciones con devolución única de stock, historial y constancia interna, proveedores y configuración persistentes, auditoría y respaldo JSON. Los reportes usan fecha de Lima y detalles de venta; no se inventan costos históricos.</w:t>
      </w:r>
    </w:p>
    <w:p>
      <w:r>
        <w:rPr>
          <w:rFonts w:ascii="Arial" w:hAnsi="Arial" w:eastAsia="Arial"/>
          <w:color w:val="000000"/>
          <w:sz w:val="22"/>
        </w:rPr>
        <w:t>Validación técnica: 18 pruebas locales aprobadas; frontend y .NET compilan, con cero errores y advertencias en .NET; Java compila. La revisión de navegador se realizó en modo demo. La conexión privada del backend, integración HTTP PostgreSQL, despliegue Render y aceptación del Grupo 10 están pendientes. La evidencia detallada está en docs/evidencias/validacion_tecnica_2026-10-04.md.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000000"/>
        <w:sz w:val="22"/>
      </w:rPr>
      <w:t xml:space="preserve">EFSR14908 | Página </w:t>
    </w:r>
    <w:r>
      <w:rPr>
        <w:rFonts w:ascii="Arial" w:hAnsi="Arial" w:eastAsia="Arial"/>
        <w:color w:val="000000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000000"/>
        <w:sz w:val="22"/>
      </w:rPr>
      <w:t>BODEGA NORTE |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