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Matriz de pruebas y validación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Alcance de la matriz</w:t>
      </w:r>
    </w:p>
    <w:p>
      <w:r>
        <w:rPr>
          <w:rFonts w:ascii="Arial" w:hAnsi="Arial" w:eastAsia="Arial"/>
          <w:color w:val="000000"/>
          <w:sz w:val="22"/>
        </w:rPr>
        <w:t>La matriz separa las compilaciones realizadas de las pruebas de integración con Supabase y de la aceptación visual. La prueba SQL Server anterior no valida PostgreSQL. El 04-10-2026 pasaron 18 pruebas locales y se revisaron ventas, cancelación, proveedores, configuración, roles demo y fechas en el navegador. La integración HTTP PostgreSQL y la aceptación del equipo permanecen pendientes.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Resultados técnicos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ID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Acción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Criterio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Resultado y evidencia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BL-01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npm run build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Vite compila la interfaz sin errores.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Aprobada el 28-09-2026; 16 módulos compilados.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BL-02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dotnet build backend/BodegaNorte.sln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solución backend compila.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Aprobada el 28-09-2026; cero advertencias y cero errores.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IT-API-01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Registrar por API una venta de una unidad de P-001 en Supabase de desarrollo.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Stock disminuye exactamente una unidad.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Pendiente: requiere proyecto, conexión y prueba sobre base de desarrollo.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IT-API-02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Solicitar por API una venta superior al stock en Supabase de desarrollo.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HTTP 400 y stock sin cambios.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Pendiente: requiere proyecto, conexión y prueba sobre base de desarrollo.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Aceptación de interfaz pendiente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ID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Acción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Resultado esperado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Estado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UI-01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Abrir Dashboard.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Indicadores, actividad y alertas visibles.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UI-02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Crear y editar un producto.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Cambios visibles en catálogo e inventario.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UI-03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Aplicar filtro Bajo.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Solo productos con stock menor o igual al mínimo.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UI-04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Registrar venta desde el carrito.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Confirmación y actualización de existencias.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UI-05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Intentar seleccionar más unidades que el stock.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interfaz impide confirmar la venta.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UI-06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Exportar CSV.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Archivo válido y legible en hoja de cálculo.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UI-07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Revisar ventana de 390 px.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Controles utilizables sin desbordamiento crítico.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UI-08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Consultar el asistente local.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Respuesta de demostración; Watson no conectado.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equipo.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Registro de ejecución técnica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Fecha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Ejecutor y ambiente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Observación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28-09-2026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Verificación técnica local para preparar el paquete; Windows, .NET SDK, Java 22 y SQL Server LocalDB en la versión previa.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prueba histórica creó una venta en una base desechable y luego se eliminó. No valida el backend Npgsql actual ni representa aceptación firmada del Grupo 10.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Registro del equipo</w:t>
      </w:r>
    </w:p>
    <w:p>
      <w:r>
        <w:rPr>
          <w:rFonts w:ascii="Arial" w:hAnsi="Arial" w:eastAsia="Arial"/>
          <w:color w:val="000000"/>
          <w:sz w:val="22"/>
        </w:rPr>
        <w:t>La aceptación manual debe ser registrada por integrantes del Grupo 10. No se incluyen firmas ni nombres de validadores que no hayan sido proporcionados.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Responsable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Fecha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Evidencia de aceptación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registro por el equipo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Captura o acta por adjuntar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Actualización operativa al 04-10-2026</w:t>
      </w:r>
    </w:p>
    <w:p>
      <w:r>
        <w:rPr>
          <w:rFonts w:ascii="Arial" w:hAnsi="Arial" w:eastAsia="Arial"/>
          <w:color w:val="000000"/>
          <w:sz w:val="22"/>
        </w:rPr>
        <w:t>Se implementaron Supabase Auth y permisos administrador/cajero, ajustes con motivo y control de versión, venta con identificador de reintento, anulaciones con devolución única de stock, historial y constancia interna, proveedores y configuración persistentes, auditoría y respaldo JSON. Los reportes usan fecha de Lima y detalles de venta; no se inventan costos históricos.</w:t>
      </w:r>
    </w:p>
    <w:p>
      <w:r>
        <w:rPr>
          <w:rFonts w:ascii="Arial" w:hAnsi="Arial" w:eastAsia="Arial"/>
          <w:color w:val="000000"/>
          <w:sz w:val="22"/>
        </w:rPr>
        <w:t>Validación técnica: 18 pruebas locales aprobadas; frontend y .NET compilan, con cero errores y advertencias en .NET; Java compila. La revisión de navegador se realizó en modo demo. La conexión privada del backend, integración HTTP PostgreSQL, despliegue Render y aceptación del Grupo 10 están pendientes. La evidencia detallada está en docs/evidencias/validacion_tecnica_2026-10-04.md.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