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</w:p>
    <w:p>
      <w:pPr>
        <w:pStyle w:val="Title"/>
        <w:jc w:val="center"/>
      </w:pPr>
      <w:r>
        <w:rPr>
          <w:rFonts w:ascii="Arial" w:hAnsi="Arial" w:eastAsia="Arial"/>
          <w:b/>
          <w:color w:val="000000"/>
          <w:sz w:val="22"/>
        </w:rPr>
        <w:t>BODEGA NORTE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Guion de sustentación</w:t>
      </w:r>
    </w:p>
    <w:p>
      <w:pPr>
        <w:jc w:val="center"/>
      </w:pPr>
      <w:r>
        <w:rPr>
          <w:rFonts w:ascii="Arial" w:hAnsi="Arial" w:eastAsia="Arial"/>
          <w:b/>
          <w:color w:val="000000"/>
          <w:sz w:val="22"/>
        </w:rPr>
        <w:t>Experiencias Formativas en Situaciones Reales de Trabajo III (EFSR14908)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Judith Jenny Jimenez Monago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Ciclo cuarto | Periodo 2026 | Semestre no consignado en los documentos recibidos</w:t>
      </w:r>
    </w:p>
    <w:p>
      <w:pPr>
        <w:jc w:val="center"/>
      </w:pPr>
      <w:r>
        <w:rPr>
          <w:rFonts w:ascii="Arial" w:hAnsi="Arial" w:eastAsia="Arial"/>
          <w:color w:val="000000"/>
          <w:sz w:val="22"/>
        </w:rPr>
        <w:t>Grupo 10</w:t>
      </w:r>
    </w:p>
    <w:p/>
    <w:p>
      <w:pPr>
        <w:jc w:val="left"/>
      </w:pPr>
      <w:r>
        <w:rPr>
          <w:rFonts w:ascii="Arial" w:hAnsi="Arial" w:eastAsia="Arial"/>
          <w:color w:val="000000"/>
          <w:sz w:val="22"/>
        </w:rPr>
        <w:t>Coordinador: Gonzalo Yoel Choque Becerra</w:t>
      </w:r>
    </w:p>
    <w:p>
      <w:r>
        <w:rPr>
          <w:rFonts w:ascii="Arial" w:hAnsi="Arial" w:eastAsia="Arial"/>
          <w:color w:val="000000"/>
          <w:sz w:val="22"/>
        </w:rPr>
        <w:t>Integrantes: Adrian Alexander Berrocal Villanueva; Lalo Alessandro Eugenio Montalvo; Juan Diego Romero Peralta</w:t>
      </w:r>
    </w:p>
    <w:p>
      <w:r>
        <w:rPr>
          <w:rFonts w:ascii="Arial" w:hAnsi="Arial" w:eastAsia="Arial"/>
          <w:color w:val="000000"/>
          <w:sz w:val="22"/>
        </w:rPr>
        <w:t>Fecha de elaboración: 4 de octubre de 2026</w:t>
      </w:r>
    </w:p>
    <w:p>
      <w:r>
        <w:rPr>
          <w:rFonts w:ascii="Arial" w:hAnsi="Arial" w:eastAsia="Arial"/>
          <w:color w:val="000000"/>
          <w:sz w:val="22"/>
        </w:rPr>
        <w:br w:type="page"/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1. Objetivo de la exposición</w:t>
      </w:r>
    </w:p>
    <w:p>
      <w:r>
        <w:rPr>
          <w:rFonts w:ascii="Arial" w:hAnsi="Arial" w:eastAsia="Arial"/>
          <w:color w:val="000000"/>
          <w:sz w:val="22"/>
        </w:rPr>
        <w:t>Presentar en forma clara el problema, la solución, el proceso de desarrollo, las evidencias y la viabilidad del sistema. La exposición debe mostrar el producto funcionando y explicar qué se entrega en cada hito.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2. Distribución sugerida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  <w:tblHeader w:val="true"/>
        </w:trPr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Bloque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Tiempo sugerido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Responsable</w:t>
            </w:r>
          </w:p>
        </w:tc>
        <w:tc>
          <w:tcPr>
            <w:tcW w:type="dxa" w:w="216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Contenido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Contexto y propuesta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4 min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Gonzalo Yoel Choque Becerra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Problema del caso, objetivos, alcance y Canvas.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Diseño de datos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3 min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Lalo Alessandro Eugenio Montalvo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Entidades SQL, relaciones, carga inicial y configuración.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Demostración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5 min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Adrian Alexander Berrocal Villanueva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Catálogo, venta, inventario y reportes.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Backend y pruebas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3 min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Juan Diego Romero Peralta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API, compilación, integración y límites del prototipo.</w:t>
            </w:r>
          </w:p>
        </w:tc>
      </w:tr>
      <w:tr>
        <w:trPr>
          <w:cantSplit/>
        </w:trPr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Cierre y preguntas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2 min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Todo el equipo</w:t>
            </w:r>
          </w:p>
        </w:tc>
        <w:tc>
          <w:tcPr>
            <w:tcW w:type="dxa" w:w="216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Conclusiones, mejoras y preguntas.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3. Guion de demostración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1. Mostrar el Dashboard y explicar los cuatro indicadores principales.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2. Abrir Inventario y aplicar el filtro Bajo para mostrar las alertas.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3. Abrir Nueva venta, seleccionar Leche Gloria 1L y Gaseosa Inca Kola, elegir Yape y registrar la venta.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4. Volver al inventario para mostrar que el stock se actualizó.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5. Abrir Reportes y explicar el resumen y la exportación CSV.</w:t>
      </w:r>
    </w:p>
    <w:p>
      <w:pPr>
        <w:ind w:left="369" w:hanging="369"/>
      </w:pPr>
      <w:r>
        <w:rPr>
          <w:rFonts w:ascii="Arial" w:hAnsi="Arial" w:eastAsia="Arial"/>
          <w:color w:val="000000"/>
          <w:sz w:val="22"/>
        </w:rPr>
        <w:t>6. Abrir Asistente de bodega y consultar Stock bajo; aclarar que la conexión Watson queda preparada para la siguiente fase.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4. Mensajes clave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Bodega Norte es un caso de estudio ficticio y utiliza datos de demostración.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La versión SQL Server anterior comprobó el registro de una venta, el descuento de una unidad y el rechazo de una cantidad superior al stock; esta evidencia no valida la migración a PostgreSQL.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La conexión Supabase, la prueba de API sobre PostgreSQL, la aceptación visual, la validación con usuarios reales y el impacto operativo todavía requieren evidencia.</w:t>
      </w:r>
    </w:p>
    <w:p>
      <w:pPr>
        <w:pStyle w:val="ListBullet"/>
      </w:pPr>
      <w:r>
        <w:rPr>
          <w:rFonts w:ascii="Arial" w:hAnsi="Arial" w:eastAsia="Arial"/>
          <w:color w:val="000000"/>
          <w:sz w:val="22"/>
        </w:rPr>
        <w:t>El modo productivo requiere autenticación, roles, auditoría, respaldo y despliegue seguro; Watson Assistant está especificado, pero no conectado al prototipo.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5. Preguntas previsibles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Pregunta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Respuesta sugerida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¿Por qué localStorage?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Es una alternativa demo sin servidor; la ejecución en Visual Studio usa MVC y Supabase PostgreSQL.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¿Cómo se evita vender sin stock?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cantidad se valida contra el stock disponible antes de confirmar.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¿Qué hace el asistente?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demo responde consultas de stock; el contrato Watson define la integración segura futura.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¿Cómo se respalda la información?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La demo permite exportar CSV; la base Supabase requiere definir y comprobar una política de copias antes de producción.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¿Cómo se probó?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Se compilaron frontend y backend MVC con Npgsql. La integración Java validó una versión anterior con SQL Server; la prueba HTTP equivalente en Supabase permanece pendiente. Las 18 pruebas locales y los flujos de navegador de demostración se verificaron el 04-10-2026.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6. Cierre sugerido</w:t>
      </w:r>
    </w:p>
    <w:p>
      <w:r>
        <w:rPr>
          <w:rFonts w:ascii="Arial" w:hAnsi="Arial" w:eastAsia="Arial"/>
          <w:color w:val="000000"/>
          <w:sz w:val="22"/>
        </w:rPr>
        <w:t>La demostración presenta el alcance técnico del prototipo y diferencia las funciones implementadas de las validaciones pendientes. Antes de proponer un despliegue se deben confirmar la fecha del curso, la aceptación del equipo y los requisitos de un usuario real.</w:t>
      </w:r>
    </w:p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7. Datos para completar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 w:val="true"/>
        </w:trPr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Dato</w:t>
            </w:r>
          </w:p>
        </w:tc>
        <w:tc>
          <w:tcPr>
            <w:tcW w:type="dxa" w:w="4320"/>
            <w:shd w:fill="00000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keepNext/>
            </w:pPr>
            <w:r>
              <w:rPr>
                <w:rFonts w:ascii="Arial" w:hAnsi="Arial" w:eastAsia="Arial"/>
                <w:b/>
                <w:color w:val="FFFFFF"/>
                <w:sz w:val="22"/>
              </w:rPr>
              <w:t>Referencia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Integrantes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Grupo 10; relación en la portada.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Orden de exposición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Propuesta en la sección 2; el equipo puede ajustarla.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Duración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17 minutos sugeridos, sujeto a indicación de la docente.</w:t>
            </w:r>
          </w:p>
        </w:tc>
      </w:tr>
      <w:tr>
        <w:trPr>
          <w:cantSplit/>
        </w:trPr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Fecha y aula</w:t>
            </w:r>
          </w:p>
        </w:tc>
        <w:tc>
          <w:tcPr>
            <w:tcW w:type="dxa" w:w="4320"/>
            <w:shd w:fill="FFFFFF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r>
              <w:rPr>
                <w:rFonts w:ascii="Arial" w:hAnsi="Arial" w:eastAsia="Arial"/>
                <w:color w:val="000000"/>
                <w:sz w:val="22"/>
              </w:rPr>
              <w:t>Según anuncio vigente en el aula virtual.</w:t>
            </w:r>
          </w:p>
        </w:tc>
      </w:tr>
    </w:tbl>
    <w:p/>
    <w:p>
      <w:pPr>
        <w:pStyle w:val="Heading1"/>
        <w:keepNext/>
        <w:keepLines/>
      </w:pPr>
      <w:r>
        <w:rPr>
          <w:rFonts w:ascii="Arial" w:hAnsi="Arial" w:eastAsia="Arial"/>
          <w:color w:val="000000"/>
          <w:sz w:val="22"/>
        </w:rPr>
        <w:t>Actualización operativa al 04-10-2026</w:t>
      </w:r>
    </w:p>
    <w:p>
      <w:r>
        <w:rPr>
          <w:rFonts w:ascii="Arial" w:hAnsi="Arial" w:eastAsia="Arial"/>
          <w:color w:val="000000"/>
          <w:sz w:val="22"/>
        </w:rPr>
        <w:t>Se implementaron Supabase Auth y permisos administrador/cajero, ajustes con motivo y control de versión, venta con identificador de reintento, anulaciones con devolución única de stock, historial y constancia interna, proveedores y configuración persistentes, auditoría y respaldo JSON. Los reportes usan fecha de Lima y detalles de venta; no se inventan costos históricos.</w:t>
      </w:r>
    </w:p>
    <w:p>
      <w:r>
        <w:rPr>
          <w:rFonts w:ascii="Arial" w:hAnsi="Arial" w:eastAsia="Arial"/>
          <w:color w:val="000000"/>
          <w:sz w:val="22"/>
        </w:rPr>
        <w:t>Validación técnica: 18 pruebas locales aprobadas; frontend y .NET compilan, con cero errores y advertencias en .NET; Java compila. La revisión de navegador se realizó en modo demo. La conexión privada del backend, integración HTTP PostgreSQL, despliegue Render y aceptación del Grupo 10 están pendientes. La evidencia detallada está en docs/evidencias/validacion_tecnica_2026-10-04.md.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color w:val="000000"/>
        <w:sz w:val="22"/>
      </w:rPr>
      <w:t xml:space="preserve">EFSR14908 | Página </w:t>
    </w:r>
    <w:r>
      <w:rPr>
        <w:rFonts w:ascii="Arial" w:hAnsi="Arial" w:eastAsia="Arial"/>
        <w:color w:val="000000"/>
        <w:sz w:val="22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000000"/>
        <w:sz w:val="22"/>
      </w:rPr>
      <w:t>BODEGA NORTE | EFSR14908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/>
      <w:widowControl/>
      <w:spacing w:after="120" w:line="240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80" w:line="240" w:lineRule="auto" w:before="160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2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line="240" w:lineRule="auto"/>
      <w:contextualSpacing/>
    </w:pPr>
    <w:rPr>
      <w:rFonts w:ascii="Arial" w:hAnsi="Arial" w:eastAsia="Arial"/>
      <w:color w:val="000000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