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/>
    </w:p>
    <w:p>
      <w:pPr/>
    </w:p>
    <w:p>
      <w:pPr>
        <w:pStyle w:val="Title"/>
        <w:jc w:val="center"/>
      </w:pPr>
      <w:r>
        <w:t>Informe de avance al 50% – Entregable 2</w:t>
      </w:r>
    </w:p>
    <w:p>
      <w:pPr>
        <w:jc w:val="center"/>
      </w:pPr>
      <w:r>
        <w:rPr>
          <w:rFonts w:ascii="Arial" w:hAnsi="Arial"/>
          <w:color w:val="1F4E79"/>
          <w:sz w:val="24"/>
        </w:rPr>
        <w:t>Sistema de inventario y ventas para la bodega Bodega Norte</w:t>
      </w:r>
    </w:p>
    <w:p>
      <w:pPr>
        <w:jc w:val="center"/>
      </w:pPr>
      <w:r>
        <w:rPr>
          <w:rFonts w:ascii="Arial" w:hAnsi="Arial"/>
          <w:b/>
          <w:color w:val="10294B"/>
          <w:sz w:val="22"/>
        </w:rPr>
        <w:t>DOCUMENTO ACADÉMICO EDITABLE</w:t>
      </w: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AF0F6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b/>
                <w:color w:val="10294B"/>
                <w:sz w:val="20"/>
              </w:rPr>
              <w:t>Curso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sz w:val="20"/>
              </w:rPr>
              <w:t>EFSR14908 – Experiencia Formativa en Situación Real de Trabajo</w:t>
            </w:r>
          </w:p>
        </w:tc>
      </w:tr>
      <w:tr>
        <w:tc>
          <w:tcPr>
            <w:tcW w:type="dxa" w:w="4320"/>
            <w:shd w:fill="EAF0F6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b/>
                <w:color w:val="10294B"/>
                <w:sz w:val="20"/>
              </w:rPr>
              <w:t>Docente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sz w:val="20"/>
              </w:rPr>
              <w:t>Judith Jiménez Monago</w:t>
            </w:r>
          </w:p>
        </w:tc>
      </w:tr>
      <w:tr>
        <w:tc>
          <w:tcPr>
            <w:tcW w:type="dxa" w:w="4320"/>
            <w:shd w:fill="EAF0F6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b/>
                <w:color w:val="10294B"/>
                <w:sz w:val="20"/>
              </w:rPr>
              <w:t>Periodo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sz w:val="20"/>
              </w:rPr>
              <w:t>Periodo académico 2026</w:t>
            </w:r>
          </w:p>
        </w:tc>
      </w:tr>
      <w:tr>
        <w:tc>
          <w:tcPr>
            <w:tcW w:type="dxa" w:w="4320"/>
            <w:shd w:fill="EAF0F6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b/>
                <w:color w:val="10294B"/>
                <w:sz w:val="20"/>
              </w:rPr>
              <w:t>Entregable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sz w:val="20"/>
              </w:rPr>
              <w:t>Entregable 2: diseño, construcción inicial, pruebas y defensa grupal</w:t>
            </w:r>
          </w:p>
        </w:tc>
      </w:tr>
      <w:tr>
        <w:tc>
          <w:tcPr>
            <w:tcW w:type="dxa" w:w="4320"/>
            <w:shd w:fill="EAF0F6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b/>
                <w:color w:val="10294B"/>
                <w:sz w:val="20"/>
              </w:rPr>
              <w:t>Estudiante / integrantes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sz w:val="20"/>
              </w:rPr>
              <w:t>[Completar]</w:t>
            </w:r>
          </w:p>
        </w:tc>
      </w:tr>
      <w:tr>
        <w:tc>
          <w:tcPr>
            <w:tcW w:type="dxa" w:w="4320"/>
            <w:shd w:fill="EAF0F6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b/>
                <w:color w:val="10294B"/>
                <w:sz w:val="20"/>
              </w:rPr>
              <w:t>Coordinador del proyecto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sz w:val="20"/>
              </w:rPr>
              <w:t>[Completar]</w:t>
            </w:r>
          </w:p>
        </w:tc>
      </w:tr>
      <w:tr>
        <w:tc>
          <w:tcPr>
            <w:tcW w:type="dxa" w:w="4320"/>
            <w:shd w:fill="EAF0F6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b/>
                <w:color w:val="10294B"/>
                <w:sz w:val="20"/>
              </w:rPr>
              <w:t>Institución / bodega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sz w:val="20"/>
              </w:rPr>
              <w:t>Bodega Norte – [completar ubicación]</w:t>
            </w:r>
          </w:p>
        </w:tc>
      </w:tr>
      <w:tr>
        <w:tc>
          <w:tcPr>
            <w:tcW w:type="dxa" w:w="4320"/>
            <w:shd w:fill="EAF0F6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b/>
                <w:color w:val="10294B"/>
                <w:sz w:val="20"/>
              </w:rPr>
              <w:t>Fecha de entrega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sz w:val="20"/>
              </w:rPr>
              <w:t>[Completar]</w:t>
            </w:r>
          </w:p>
        </w:tc>
      </w:tr>
    </w:tbl>
    <w:p/>
    <w:p>
      <w:pPr>
        <w:jc w:val="center"/>
      </w:pPr>
      <w:r>
        <w:rPr>
          <w:i/>
          <w:color w:val="6B7280"/>
          <w:sz w:val="18"/>
        </w:rPr>
        <w:t>Elaborado a partir de la estructura y criterios indicados en los documentos de referencia del curso.</w:t>
      </w:r>
    </w:p>
    <w:p>
      <w:r>
        <w:br w:type="page"/>
      </w:r>
    </w:p>
    <w:p>
      <w:pPr>
        <w:pStyle w:val="Heading1"/>
      </w:pPr>
      <w:r>
        <w:t>1. Estado del proyecto</w:t>
      </w:r>
    </w:p>
    <w:p>
      <w:r>
        <w:t>Al corte del 50%, el proyecto cuenta con una interfaz funcional para dashboard, ventas, inventario, productos, proveedores, reportes y configuración. Se han priorizado los flujos que demuestran valor: revisar stock, registrar una venta y consultar alertas.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 w:val="true"/>
        </w:trPr>
        <w:tc>
          <w:tcPr>
            <w:tcW w:type="dxa" w:w="2880"/>
            <w:shd w:fill="10294B"/>
            <w:tcBorders>
              <w:top w:val="single" w:sz="4" w:space="0" w:color="10294B"/>
              <w:left w:val="single" w:sz="4" w:space="0" w:color="10294B"/>
              <w:bottom w:val="single" w:sz="4" w:space="0" w:color="10294B"/>
              <w:right w:val="single" w:sz="4" w:space="0" w:color="10294B"/>
              <w:insideH w:val="single" w:sz="4" w:space="0" w:color="10294B"/>
              <w:insideV w:val="single" w:sz="4" w:space="0" w:color="10294B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Área</w:t>
            </w:r>
          </w:p>
        </w:tc>
        <w:tc>
          <w:tcPr>
            <w:tcW w:type="dxa" w:w="2880"/>
            <w:shd w:fill="10294B"/>
            <w:tcBorders>
              <w:top w:val="single" w:sz="4" w:space="0" w:color="10294B"/>
              <w:left w:val="single" w:sz="4" w:space="0" w:color="10294B"/>
              <w:bottom w:val="single" w:sz="4" w:space="0" w:color="10294B"/>
              <w:right w:val="single" w:sz="4" w:space="0" w:color="10294B"/>
              <w:insideH w:val="single" w:sz="4" w:space="0" w:color="10294B"/>
              <w:insideV w:val="single" w:sz="4" w:space="0" w:color="10294B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Estado al 50%</w:t>
            </w:r>
          </w:p>
        </w:tc>
        <w:tc>
          <w:tcPr>
            <w:tcW w:type="dxa" w:w="2880"/>
            <w:shd w:fill="10294B"/>
            <w:tcBorders>
              <w:top w:val="single" w:sz="4" w:space="0" w:color="10294B"/>
              <w:left w:val="single" w:sz="4" w:space="0" w:color="10294B"/>
              <w:bottom w:val="single" w:sz="4" w:space="0" w:color="10294B"/>
              <w:right w:val="single" w:sz="4" w:space="0" w:color="10294B"/>
              <w:insideH w:val="single" w:sz="4" w:space="0" w:color="10294B"/>
              <w:insideV w:val="single" w:sz="4" w:space="0" w:color="10294B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Evidencia</w:t>
            </w:r>
          </w:p>
        </w:tc>
      </w:tr>
      <w:tr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Interfaz</w:t>
            </w:r>
          </w:p>
        </w:tc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Completada para desktop y adaptada a móvil.</w:t>
            </w:r>
          </w:p>
        </w:tc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Capturas visuales y navegación en la aplicación.</w:t>
            </w:r>
          </w:p>
        </w:tc>
      </w:tr>
      <w:tr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Ventas</w:t>
            </w:r>
          </w:p>
        </w:tc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Flujo de venta validado con actualización de stock.</w:t>
            </w:r>
          </w:p>
        </w:tc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Caso IT-02 y mensaje de venta registrada.</w:t>
            </w:r>
          </w:p>
        </w:tc>
      </w:tr>
      <w:tr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Inventario</w:t>
            </w:r>
          </w:p>
        </w:tc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Listado, búsqueda y filtro por stock bajo.</w:t>
            </w:r>
          </w:p>
        </w:tc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Tabla de inventario y filtro Bajo.</w:t>
            </w:r>
          </w:p>
        </w:tc>
      </w:tr>
      <w:tr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Reportes</w:t>
            </w:r>
          </w:p>
        </w:tc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Resumen de ventas y productos con bajo stock.</w:t>
            </w:r>
          </w:p>
        </w:tc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Módulo Reportes.</w:t>
            </w:r>
          </w:p>
        </w:tc>
      </w:tr>
      <w:tr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Persistencia</w:t>
            </w:r>
          </w:p>
        </w:tc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LocalStorage en demo; MVC con SQL Server local implementado.</w:t>
            </w:r>
          </w:p>
        </w:tc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backend/BodegaNorte.Api/ y database/schema.sql.</w:t>
            </w:r>
          </w:p>
        </w:tc>
      </w:tr>
      <w:tr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Asistente</w:t>
            </w:r>
          </w:p>
        </w:tc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Contrato de Watson Assistant documentado; demo offline disponible.</w:t>
            </w:r>
          </w:p>
        </w:tc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Documento de integración y manual técnico.</w:t>
            </w:r>
          </w:p>
        </w:tc>
      </w:tr>
    </w:tbl>
    <w:p/>
    <w:p>
      <w:pPr>
        <w:pStyle w:val="Heading1"/>
      </w:pPr>
      <w:r>
        <w:t>2. Historias de usuario priorizadas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tblHeader w:val="true"/>
        </w:trPr>
        <w:tc>
          <w:tcPr>
            <w:tcW w:type="dxa" w:w="2160"/>
            <w:shd w:fill="10294B"/>
            <w:tcBorders>
              <w:top w:val="single" w:sz="4" w:space="0" w:color="10294B"/>
              <w:left w:val="single" w:sz="4" w:space="0" w:color="10294B"/>
              <w:bottom w:val="single" w:sz="4" w:space="0" w:color="10294B"/>
              <w:right w:val="single" w:sz="4" w:space="0" w:color="10294B"/>
              <w:insideH w:val="single" w:sz="4" w:space="0" w:color="10294B"/>
              <w:insideV w:val="single" w:sz="4" w:space="0" w:color="10294B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ID</w:t>
            </w:r>
          </w:p>
        </w:tc>
        <w:tc>
          <w:tcPr>
            <w:tcW w:type="dxa" w:w="2160"/>
            <w:shd w:fill="10294B"/>
            <w:tcBorders>
              <w:top w:val="single" w:sz="4" w:space="0" w:color="10294B"/>
              <w:left w:val="single" w:sz="4" w:space="0" w:color="10294B"/>
              <w:bottom w:val="single" w:sz="4" w:space="0" w:color="10294B"/>
              <w:right w:val="single" w:sz="4" w:space="0" w:color="10294B"/>
              <w:insideH w:val="single" w:sz="4" w:space="0" w:color="10294B"/>
              <w:insideV w:val="single" w:sz="4" w:space="0" w:color="10294B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Historia</w:t>
            </w:r>
          </w:p>
        </w:tc>
        <w:tc>
          <w:tcPr>
            <w:tcW w:type="dxa" w:w="2160"/>
            <w:shd w:fill="10294B"/>
            <w:tcBorders>
              <w:top w:val="single" w:sz="4" w:space="0" w:color="10294B"/>
              <w:left w:val="single" w:sz="4" w:space="0" w:color="10294B"/>
              <w:bottom w:val="single" w:sz="4" w:space="0" w:color="10294B"/>
              <w:right w:val="single" w:sz="4" w:space="0" w:color="10294B"/>
              <w:insideH w:val="single" w:sz="4" w:space="0" w:color="10294B"/>
              <w:insideV w:val="single" w:sz="4" w:space="0" w:color="10294B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Criterio de aceptación</w:t>
            </w:r>
          </w:p>
        </w:tc>
        <w:tc>
          <w:tcPr>
            <w:tcW w:type="dxa" w:w="2160"/>
            <w:shd w:fill="10294B"/>
            <w:tcBorders>
              <w:top w:val="single" w:sz="4" w:space="0" w:color="10294B"/>
              <w:left w:val="single" w:sz="4" w:space="0" w:color="10294B"/>
              <w:bottom w:val="single" w:sz="4" w:space="0" w:color="10294B"/>
              <w:right w:val="single" w:sz="4" w:space="0" w:color="10294B"/>
              <w:insideH w:val="single" w:sz="4" w:space="0" w:color="10294B"/>
              <w:insideV w:val="single" w:sz="4" w:space="0" w:color="10294B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Estado</w:t>
            </w:r>
          </w:p>
        </w:tc>
      </w:tr>
      <w:tr>
        <w:tc>
          <w:tcPr>
            <w:tcW w:type="dxa" w:w="216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US-01</w:t>
            </w:r>
          </w:p>
        </w:tc>
        <w:tc>
          <w:tcPr>
            <w:tcW w:type="dxa" w:w="216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Como administrador, quiero ver indicadores del día.</w:t>
            </w:r>
          </w:p>
        </w:tc>
        <w:tc>
          <w:tcPr>
            <w:tcW w:type="dxa" w:w="216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Se muestran ventas, ingresos, stock bajo y productos.</w:t>
            </w:r>
          </w:p>
        </w:tc>
        <w:tc>
          <w:tcPr>
            <w:tcW w:type="dxa" w:w="216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Listo</w:t>
            </w:r>
          </w:p>
        </w:tc>
      </w:tr>
      <w:tr>
        <w:tc>
          <w:tcPr>
            <w:tcW w:type="dxa" w:w="216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US-02</w:t>
            </w:r>
          </w:p>
        </w:tc>
        <w:tc>
          <w:tcPr>
            <w:tcW w:type="dxa" w:w="216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Como encargado, quiero registrar productos.</w:t>
            </w:r>
          </w:p>
        </w:tc>
        <w:tc>
          <w:tcPr>
            <w:tcW w:type="dxa" w:w="216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Nombre, categoría, precio, stock y mínimo son editables.</w:t>
            </w:r>
          </w:p>
        </w:tc>
        <w:tc>
          <w:tcPr>
            <w:tcW w:type="dxa" w:w="216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Listo</w:t>
            </w:r>
          </w:p>
        </w:tc>
      </w:tr>
      <w:tr>
        <w:tc>
          <w:tcPr>
            <w:tcW w:type="dxa" w:w="216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US-03</w:t>
            </w:r>
          </w:p>
        </w:tc>
        <w:tc>
          <w:tcPr>
            <w:tcW w:type="dxa" w:w="216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Como cajero, quiero buscar productos y vender.</w:t>
            </w:r>
          </w:p>
        </w:tc>
        <w:tc>
          <w:tcPr>
            <w:tcW w:type="dxa" w:w="216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El total se calcula y el stock disminuye al confirmar.</w:t>
            </w:r>
          </w:p>
        </w:tc>
        <w:tc>
          <w:tcPr>
            <w:tcW w:type="dxa" w:w="216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Listo</w:t>
            </w:r>
          </w:p>
        </w:tc>
      </w:tr>
      <w:tr>
        <w:tc>
          <w:tcPr>
            <w:tcW w:type="dxa" w:w="216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US-04</w:t>
            </w:r>
          </w:p>
        </w:tc>
        <w:tc>
          <w:tcPr>
            <w:tcW w:type="dxa" w:w="216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Como administrador, quiero conocer el stock bajo.</w:t>
            </w:r>
          </w:p>
        </w:tc>
        <w:tc>
          <w:tcPr>
            <w:tcW w:type="dxa" w:w="216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El filtro Bajo muestra productos por debajo del mínimo.</w:t>
            </w:r>
          </w:p>
        </w:tc>
        <w:tc>
          <w:tcPr>
            <w:tcW w:type="dxa" w:w="216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Listo</w:t>
            </w:r>
          </w:p>
        </w:tc>
      </w:tr>
      <w:tr>
        <w:tc>
          <w:tcPr>
            <w:tcW w:type="dxa" w:w="216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US-05</w:t>
            </w:r>
          </w:p>
        </w:tc>
        <w:tc>
          <w:tcPr>
            <w:tcW w:type="dxa" w:w="216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Como responsable, quiero exportar un reporte.</w:t>
            </w:r>
          </w:p>
        </w:tc>
        <w:tc>
          <w:tcPr>
            <w:tcW w:type="dxa" w:w="216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Se genera un archivo CSV con ventas y productos.</w:t>
            </w:r>
          </w:p>
        </w:tc>
        <w:tc>
          <w:tcPr>
            <w:tcW w:type="dxa" w:w="216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Listo</w:t>
            </w:r>
          </w:p>
        </w:tc>
      </w:tr>
      <w:tr>
        <w:tc>
          <w:tcPr>
            <w:tcW w:type="dxa" w:w="216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US-06</w:t>
            </w:r>
          </w:p>
        </w:tc>
        <w:tc>
          <w:tcPr>
            <w:tcW w:type="dxa" w:w="216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Como usuario, quiero consultar al asistente.</w:t>
            </w:r>
          </w:p>
        </w:tc>
        <w:tc>
          <w:tcPr>
            <w:tcW w:type="dxa" w:w="216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La intención stock_bajo devuelve una respuesta útil.</w:t>
            </w:r>
          </w:p>
        </w:tc>
        <w:tc>
          <w:tcPr>
            <w:tcW w:type="dxa" w:w="216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Contrato listo</w:t>
            </w:r>
          </w:p>
        </w:tc>
      </w:tr>
    </w:tbl>
    <w:p/>
    <w:p>
      <w:pPr>
        <w:pStyle w:val="Heading1"/>
      </w:pPr>
      <w:r>
        <w:t>3. Diseño funcional y técnico</w:t>
      </w:r>
    </w:p>
    <w:p>
      <w:r>
        <w:t>La solución implementa estrictamente MVC en tres capas: React y Views/Home/Index.cshtml forman la View; los Controllers reciben las solicitudes y BodegaService aplica las reglas; Models/Contracts.cs y BodegaRepository representan y persisten el modelo en SQL Server LocalDB. El modo demo mantiene LocalStorage solo para ejecutar la interfaz sin servidor.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 w:val="true"/>
        </w:trPr>
        <w:tc>
          <w:tcPr>
            <w:tcW w:type="dxa" w:w="2880"/>
            <w:shd w:fill="10294B"/>
            <w:tcBorders>
              <w:top w:val="single" w:sz="4" w:space="0" w:color="10294B"/>
              <w:left w:val="single" w:sz="4" w:space="0" w:color="10294B"/>
              <w:bottom w:val="single" w:sz="4" w:space="0" w:color="10294B"/>
              <w:right w:val="single" w:sz="4" w:space="0" w:color="10294B"/>
              <w:insideH w:val="single" w:sz="4" w:space="0" w:color="10294B"/>
              <w:insideV w:val="single" w:sz="4" w:space="0" w:color="10294B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2880"/>
            <w:shd w:fill="10294B"/>
            <w:tcBorders>
              <w:top w:val="single" w:sz="4" w:space="0" w:color="10294B"/>
              <w:left w:val="single" w:sz="4" w:space="0" w:color="10294B"/>
              <w:bottom w:val="single" w:sz="4" w:space="0" w:color="10294B"/>
              <w:right w:val="single" w:sz="4" w:space="0" w:color="10294B"/>
              <w:insideH w:val="single" w:sz="4" w:space="0" w:color="10294B"/>
              <w:insideV w:val="single" w:sz="4" w:space="0" w:color="10294B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Responsabilidad</w:t>
            </w:r>
          </w:p>
        </w:tc>
        <w:tc>
          <w:tcPr>
            <w:tcW w:type="dxa" w:w="2880"/>
            <w:shd w:fill="10294B"/>
            <w:tcBorders>
              <w:top w:val="single" w:sz="4" w:space="0" w:color="10294B"/>
              <w:left w:val="single" w:sz="4" w:space="0" w:color="10294B"/>
              <w:bottom w:val="single" w:sz="4" w:space="0" w:color="10294B"/>
              <w:right w:val="single" w:sz="4" w:space="0" w:color="10294B"/>
              <w:insideH w:val="single" w:sz="4" w:space="0" w:color="10294B"/>
              <w:insideV w:val="single" w:sz="4" w:space="0" w:color="10294B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Regla clave</w:t>
            </w:r>
          </w:p>
        </w:tc>
      </w:tr>
      <w:tr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Dashboard</w:t>
            </w:r>
          </w:p>
        </w:tc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Indicadores y actividad reciente.</w:t>
            </w:r>
          </w:p>
        </w:tc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Los valores se calculan a partir de ventas y productos.</w:t>
            </w:r>
          </w:p>
        </w:tc>
      </w:tr>
      <w:tr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Ventas</w:t>
            </w:r>
          </w:p>
        </w:tc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Carrito y confirmación de operación.</w:t>
            </w:r>
          </w:p>
        </w:tc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No se permite superar el stock disponible.</w:t>
            </w:r>
          </w:p>
        </w:tc>
      </w:tr>
      <w:tr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Inventario</w:t>
            </w:r>
          </w:p>
        </w:tc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Consulta y filtro de existencias.</w:t>
            </w:r>
          </w:p>
        </w:tc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Stock bajo cuando actual &lt; mínimo.</w:t>
            </w:r>
          </w:p>
        </w:tc>
      </w:tr>
      <w:tr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Productos</w:t>
            </w:r>
          </w:p>
        </w:tc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Alta y edición del catálogo.</w:t>
            </w:r>
          </w:p>
        </w:tc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Precio, stock y mínimo deben ser válidos.</w:t>
            </w:r>
          </w:p>
        </w:tc>
      </w:tr>
      <w:tr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Reportes</w:t>
            </w:r>
          </w:p>
        </w:tc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Indicadores y exportación.</w:t>
            </w:r>
          </w:p>
        </w:tc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CSV editable para análisis posterior.</w:t>
            </w:r>
          </w:p>
        </w:tc>
      </w:tr>
    </w:tbl>
    <w:p/>
    <w:p>
      <w:pPr>
        <w:pStyle w:val="Heading1"/>
      </w:pPr>
      <w:r>
        <w:t>4. Metodología y planificación</w:t>
      </w:r>
    </w:p>
    <w:p>
      <w:r>
        <w:t>Se utiliza Scrum con ciclos cortos, revisión del avance y priorización por valor. El entregable 1 concentra el problema y la propuesta; el entregable 2 demuestra el diseño y la construcción al 50%; la entrega final integra producto, componentes, recursos, pruebas y sustentación.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 w:val="true"/>
        </w:trPr>
        <w:tc>
          <w:tcPr>
            <w:tcW w:type="dxa" w:w="4320"/>
            <w:shd w:fill="10294B"/>
            <w:tcBorders>
              <w:top w:val="single" w:sz="4" w:space="0" w:color="10294B"/>
              <w:left w:val="single" w:sz="4" w:space="0" w:color="10294B"/>
              <w:bottom w:val="single" w:sz="4" w:space="0" w:color="10294B"/>
              <w:right w:val="single" w:sz="4" w:space="0" w:color="10294B"/>
              <w:insideH w:val="single" w:sz="4" w:space="0" w:color="10294B"/>
              <w:insideV w:val="single" w:sz="4" w:space="0" w:color="10294B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</w:t>
            </w:r>
          </w:p>
        </w:tc>
        <w:tc>
          <w:tcPr>
            <w:tcW w:type="dxa" w:w="4320"/>
            <w:shd w:fill="10294B"/>
            <w:tcBorders>
              <w:top w:val="single" w:sz="4" w:space="0" w:color="10294B"/>
              <w:left w:val="single" w:sz="4" w:space="0" w:color="10294B"/>
              <w:bottom w:val="single" w:sz="4" w:space="0" w:color="10294B"/>
              <w:right w:val="single" w:sz="4" w:space="0" w:color="10294B"/>
              <w:insideH w:val="single" w:sz="4" w:space="0" w:color="10294B"/>
              <w:insideV w:val="single" w:sz="4" w:space="0" w:color="10294B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Responsabilidad</w:t>
            </w:r>
          </w:p>
        </w:tc>
      </w:tr>
      <w:tr>
        <w:tc>
          <w:tcPr>
            <w:tcW w:type="dxa" w:w="432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Product Owner</w:t>
            </w:r>
          </w:p>
        </w:tc>
        <w:tc>
          <w:tcPr>
            <w:tcW w:type="dxa" w:w="432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Priorizar historias y validar el valor para la bodega.</w:t>
            </w:r>
          </w:p>
        </w:tc>
      </w:tr>
      <w:tr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Scrum Master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Facilitar acuerdos, seguimiento y eliminación de impedimentos.</w:t>
            </w:r>
          </w:p>
        </w:tc>
      </w:tr>
      <w:tr>
        <w:tc>
          <w:tcPr>
            <w:tcW w:type="dxa" w:w="432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Equipo de desarrollo</w:t>
            </w:r>
          </w:p>
        </w:tc>
        <w:tc>
          <w:tcPr>
            <w:tcW w:type="dxa" w:w="432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Diseño, código, pruebas, documentación e integración.</w:t>
            </w:r>
          </w:p>
        </w:tc>
      </w:tr>
      <w:tr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Usuario validador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Revisar flujo de caja, inventario y reportes.</w:t>
            </w:r>
          </w:p>
        </w:tc>
      </w:tr>
    </w:tbl>
    <w:p/>
    <w:p>
      <w:pPr>
        <w:pStyle w:val="Heading1"/>
      </w:pPr>
      <w:r>
        <w:t>5. Plan de pruebas al 50%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 w:val="true"/>
        </w:trPr>
        <w:tc>
          <w:tcPr>
            <w:tcW w:type="dxa" w:w="2880"/>
            <w:shd w:fill="10294B"/>
            <w:tcBorders>
              <w:top w:val="single" w:sz="4" w:space="0" w:color="10294B"/>
              <w:left w:val="single" w:sz="4" w:space="0" w:color="10294B"/>
              <w:bottom w:val="single" w:sz="4" w:space="0" w:color="10294B"/>
              <w:right w:val="single" w:sz="4" w:space="0" w:color="10294B"/>
              <w:insideH w:val="single" w:sz="4" w:space="0" w:color="10294B"/>
              <w:insideV w:val="single" w:sz="4" w:space="0" w:color="10294B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Caso</w:t>
            </w:r>
          </w:p>
        </w:tc>
        <w:tc>
          <w:tcPr>
            <w:tcW w:type="dxa" w:w="2880"/>
            <w:shd w:fill="10294B"/>
            <w:tcBorders>
              <w:top w:val="single" w:sz="4" w:space="0" w:color="10294B"/>
              <w:left w:val="single" w:sz="4" w:space="0" w:color="10294B"/>
              <w:bottom w:val="single" w:sz="4" w:space="0" w:color="10294B"/>
              <w:right w:val="single" w:sz="4" w:space="0" w:color="10294B"/>
              <w:insideH w:val="single" w:sz="4" w:space="0" w:color="10294B"/>
              <w:insideV w:val="single" w:sz="4" w:space="0" w:color="10294B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Resultado esperado</w:t>
            </w:r>
          </w:p>
        </w:tc>
        <w:tc>
          <w:tcPr>
            <w:tcW w:type="dxa" w:w="2880"/>
            <w:shd w:fill="10294B"/>
            <w:tcBorders>
              <w:top w:val="single" w:sz="4" w:space="0" w:color="10294B"/>
              <w:left w:val="single" w:sz="4" w:space="0" w:color="10294B"/>
              <w:bottom w:val="single" w:sz="4" w:space="0" w:color="10294B"/>
              <w:right w:val="single" w:sz="4" w:space="0" w:color="10294B"/>
              <w:insideH w:val="single" w:sz="4" w:space="0" w:color="10294B"/>
              <w:insideV w:val="single" w:sz="4" w:space="0" w:color="10294B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Resultado actual</w:t>
            </w:r>
          </w:p>
        </w:tc>
      </w:tr>
      <w:tr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IT-01</w:t>
            </w:r>
          </w:p>
        </w:tc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Filtrar productos con stock bajo.</w:t>
            </w:r>
          </w:p>
        </w:tc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OK: se visualizan cinco productos de demostración.</w:t>
            </w:r>
          </w:p>
        </w:tc>
      </w:tr>
      <w:tr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IT-02</w:t>
            </w:r>
          </w:p>
        </w:tc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Registrar venta y actualizar stock.</w:t>
            </w:r>
          </w:p>
        </w:tc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OK: venta registrada y stock disminuido.</w:t>
            </w:r>
          </w:p>
        </w:tc>
      </w:tr>
      <w:tr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IT-03</w:t>
            </w:r>
          </w:p>
        </w:tc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Validar producto con campos incompletos.</w:t>
            </w:r>
          </w:p>
        </w:tc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OK: botón Guardar permanece deshabilitado.</w:t>
            </w:r>
          </w:p>
        </w:tc>
      </w:tr>
      <w:tr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IT-04</w:t>
            </w:r>
          </w:p>
        </w:tc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Abrir menú en móvil.</w:t>
            </w:r>
          </w:p>
        </w:tc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OK: navegación accesible mediante menú.</w:t>
            </w:r>
          </w:p>
        </w:tc>
      </w:tr>
      <w:tr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IT-05</w:t>
            </w:r>
          </w:p>
        </w:tc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Consultar asistente por stock bajo.</w:t>
            </w:r>
          </w:p>
        </w:tc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OK: devuelve lista resumida de productos.</w:t>
            </w:r>
          </w:p>
        </w:tc>
      </w:tr>
    </w:tbl>
    <w:p/>
    <w:p>
      <w:pPr>
        <w:pStyle w:val="Heading1"/>
      </w:pPr>
      <w:r>
        <w:t>6. Plan de integración continua</w:t>
      </w:r>
    </w:p>
    <w:p>
      <w:pPr>
        <w:pStyle w:val="ListNumber"/>
      </w:pPr>
      <w:r>
        <w:t>Instalar dependencias con pnpm install.</w:t>
      </w:r>
    </w:p>
    <w:p>
      <w:pPr>
        <w:pStyle w:val="ListNumber"/>
      </w:pPr>
      <w:r>
        <w:t>Ejecutar la construcción de producción con pnpm run build.</w:t>
      </w:r>
    </w:p>
    <w:p>
      <w:pPr>
        <w:pStyle w:val="ListNumber"/>
      </w:pPr>
      <w:r>
        <w:t>Ejecutar pruebas de integración Java cuando se modifique el flujo de venta o el contrato de datos.</w:t>
      </w:r>
    </w:p>
    <w:p>
      <w:pPr>
        <w:pStyle w:val="ListNumber"/>
      </w:pPr>
      <w:r>
        <w:t>Revisar que los documentos, diagramas y evidencias estén actualizados antes de cada entrega.</w:t>
      </w:r>
    </w:p>
    <w:p>
      <w:pPr>
        <w:pStyle w:val="ListNumber"/>
      </w:pPr>
      <w:r>
        <w:t>No incorporar secretos: mantener credenciales en variables de entorno y usar .env.example como referencia.</w:t>
      </w:r>
    </w:p>
    <w:p>
      <w:pPr>
        <w:pStyle w:val="Heading1"/>
      </w:pPr>
      <w:r>
        <w:t>7. Riesgos y acciones pendientes</w:t>
      </w:r>
    </w:p>
    <w:p>
      <w:pPr>
        <w:pStyle w:val="ListBullet"/>
      </w:pPr>
      <w:r>
        <w:t>Completar pruebas de aceptación con datos reales autorizados por la organización.</w:t>
      </w:r>
    </w:p>
    <w:p>
      <w:pPr>
        <w:pStyle w:val="ListBullet"/>
      </w:pPr>
      <w:r>
        <w:t>Validar el mapa de intents y entidades con un asistente Watson configurado.</w:t>
      </w:r>
    </w:p>
    <w:p>
      <w:pPr>
        <w:pStyle w:val="ListBullet"/>
      </w:pPr>
      <w:r>
        <w:t>Completar nombres, firmas, ubicación, integrantes y fecha en la portada.</w:t>
      </w:r>
    </w:p>
    <w:p>
      <w:pPr>
        <w:pStyle w:val="ListBullet"/>
      </w:pPr>
      <w:r>
        <w:t>Configurar autenticación, roles y auditoría antes de una puesta en producción.</w:t>
      </w:r>
    </w:p>
    <w:p>
      <w:pPr>
        <w:pStyle w:val="Heading1"/>
      </w:pPr>
      <w:r>
        <w:t>8. Evidencias visuales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412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ID_visual_escritori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2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Evidencia E-01: interfaz responsive en escritorio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926080" cy="633233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ID_visual_movi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63323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Evidencia E-02: interfaz responsive en móvil</w:t>
      </w:r>
    </w:p>
    <w:sectPr w:rsidR="00FC693F" w:rsidRPr="0006063C" w:rsidSect="00034616">
      <w:headerReference w:type="default" r:id="rId11"/>
      <w:footerReference w:type="default" r:id="rId12"/>
      <w:pgSz w:w="11906" w:h="16838"/>
      <w:pgMar w:top="1701" w:right="1417" w:bottom="1701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6B7280"/>
        <w:sz w:val="16"/>
      </w:rPr>
      <w:t xml:space="preserve">EFSR14908  ·  Documento editable  ·  Página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6B7280"/>
        <w:sz w:val="16"/>
      </w:rPr>
      <w:t>BODEGA NORTE  |  EFSR14908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40" w:lineRule="auto"/>
    </w:pPr>
    <w:rPr>
      <w:rFonts w:ascii="Arial" w:hAnsi="Arial" w:eastAsia="Arial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0294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E79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200"/>
      <w:contextualSpacing/>
    </w:pPr>
    <w:rPr>
      <w:rFonts w:asciiTheme="majorHAnsi" w:eastAsiaTheme="majorEastAsia" w:hAnsiTheme="majorHAnsi" w:cstheme="majorBidi" w:ascii="Arial" w:hAnsi="Arial" w:eastAsia="Arial"/>
      <w:b/>
      <w:color w:val="10294B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header" Target="header1.xml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