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</w:p>
    <w:p>
      <w:pPr/>
    </w:p>
    <w:p>
      <w:pPr>
        <w:pStyle w:val="Title"/>
        <w:jc w:val="center"/>
      </w:pPr>
      <w:r>
        <w:t>Matriz de pruebas y validación</w:t>
      </w:r>
    </w:p>
    <w:p>
      <w:pPr>
        <w:jc w:val="center"/>
      </w:pPr>
      <w:r>
        <w:rPr>
          <w:rFonts w:ascii="Arial" w:hAnsi="Arial"/>
          <w:color w:val="1F4E79"/>
          <w:sz w:val="24"/>
        </w:rPr>
        <w:t>Sistema de inventario y ventas para la bodega Bodega Norte</w:t>
      </w:r>
    </w:p>
    <w:p>
      <w:pPr>
        <w:jc w:val="center"/>
      </w:pPr>
      <w:r>
        <w:rPr>
          <w:rFonts w:ascii="Arial" w:hAnsi="Arial"/>
          <w:b/>
          <w:color w:val="10294B"/>
          <w:sz w:val="22"/>
        </w:rPr>
        <w:t>DOCUMENTO ACADÉMICO EDITABLE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Curso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EFSR14908 – Experiencia Formativa en Situación Real de Trabajo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Docente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Judith Jiménez Monago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Periodo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Periodo académico 2026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Entregable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Evidencias funcionales, técnicas y de usabilidad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Estudiante / integrantes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[Completar]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Coordinador del proyecto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[Completar]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Institución / bodega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Bodega Norte – [completar ubicación]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Fecha de entrega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[Completar]</w:t>
            </w:r>
          </w:p>
        </w:tc>
      </w:tr>
    </w:tbl>
    <w:p/>
    <w:p>
      <w:pPr>
        <w:jc w:val="center"/>
      </w:pPr>
      <w:r>
        <w:rPr>
          <w:i/>
          <w:color w:val="6B7280"/>
          <w:sz w:val="18"/>
        </w:rPr>
        <w:t>Elaborado a partir de la estructura y criterios indicados en los documentos de referencia del curso.</w:t>
      </w:r>
    </w:p>
    <w:p>
      <w:r>
        <w:br w:type="page"/>
      </w:r>
    </w:p>
    <w:p>
      <w:pPr>
        <w:pStyle w:val="Heading1"/>
      </w:pPr>
      <w:r>
        <w:t>1. Criterios de prueba</w:t>
      </w:r>
    </w:p>
    <w:p>
      <w:r>
        <w:t>La matriz cubre los flujos principales del MVP, la validación de formularios, la actualización de existencias, la adaptación responsive, la compilación y la prueba de integración. Cada resultado debe acompañarse de captura o registro de ejecución cuando se presente el informe.</w:t>
      </w:r>
    </w:p>
    <w:p>
      <w:pPr>
        <w:pStyle w:val="Heading1"/>
      </w:pPr>
      <w:r>
        <w:t>2. Casos de prueba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728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1728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1728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Entrada / acción</w:t>
            </w:r>
          </w:p>
        </w:tc>
        <w:tc>
          <w:tcPr>
            <w:tcW w:type="dxa" w:w="1728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Resultado esperado</w:t>
            </w:r>
          </w:p>
        </w:tc>
        <w:tc>
          <w:tcPr>
            <w:tcW w:type="dxa" w:w="1728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1728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IT-01</w:t>
            </w:r>
          </w:p>
        </w:tc>
        <w:tc>
          <w:tcPr>
            <w:tcW w:type="dxa" w:w="1728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Dashboard</w:t>
            </w:r>
          </w:p>
        </w:tc>
        <w:tc>
          <w:tcPr>
            <w:tcW w:type="dxa" w:w="1728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Abrir la aplicación</w:t>
            </w:r>
          </w:p>
        </w:tc>
        <w:tc>
          <w:tcPr>
            <w:tcW w:type="dxa" w:w="1728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Se muestran KPIs, gráfico, actividad y alerta</w:t>
            </w:r>
          </w:p>
        </w:tc>
        <w:tc>
          <w:tcPr>
            <w:tcW w:type="dxa" w:w="1728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Aprobado</w:t>
            </w:r>
          </w:p>
        </w:tc>
      </w:tr>
      <w:tr>
        <w:tc>
          <w:tcPr>
            <w:tcW w:type="dxa" w:w="17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IT-02</w:t>
            </w:r>
          </w:p>
        </w:tc>
        <w:tc>
          <w:tcPr>
            <w:tcW w:type="dxa" w:w="17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Ventas</w:t>
            </w:r>
          </w:p>
        </w:tc>
        <w:tc>
          <w:tcPr>
            <w:tcW w:type="dxa" w:w="17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Vender 1 Leche y 1 Gaseosa</w:t>
            </w:r>
          </w:p>
        </w:tc>
        <w:tc>
          <w:tcPr>
            <w:tcW w:type="dxa" w:w="17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Venta registrada y stock actualizado</w:t>
            </w:r>
          </w:p>
        </w:tc>
        <w:tc>
          <w:tcPr>
            <w:tcW w:type="dxa" w:w="17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Aprobado</w:t>
            </w:r>
          </w:p>
        </w:tc>
      </w:tr>
      <w:tr>
        <w:tc>
          <w:tcPr>
            <w:tcW w:type="dxa" w:w="1728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IT-03</w:t>
            </w:r>
          </w:p>
        </w:tc>
        <w:tc>
          <w:tcPr>
            <w:tcW w:type="dxa" w:w="1728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Ventas</w:t>
            </w:r>
          </w:p>
        </w:tc>
        <w:tc>
          <w:tcPr>
            <w:tcW w:type="dxa" w:w="1728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Intentar vender más stock</w:t>
            </w:r>
          </w:p>
        </w:tc>
        <w:tc>
          <w:tcPr>
            <w:tcW w:type="dxa" w:w="1728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Operación bloqueada o validada</w:t>
            </w:r>
          </w:p>
        </w:tc>
        <w:tc>
          <w:tcPr>
            <w:tcW w:type="dxa" w:w="1728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Aprobado</w:t>
            </w:r>
          </w:p>
        </w:tc>
      </w:tr>
      <w:tr>
        <w:tc>
          <w:tcPr>
            <w:tcW w:type="dxa" w:w="17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IT-04</w:t>
            </w:r>
          </w:p>
        </w:tc>
        <w:tc>
          <w:tcPr>
            <w:tcW w:type="dxa" w:w="17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Inventario</w:t>
            </w:r>
          </w:p>
        </w:tc>
        <w:tc>
          <w:tcPr>
            <w:tcW w:type="dxa" w:w="17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Usar filtro Bajo</w:t>
            </w:r>
          </w:p>
        </w:tc>
        <w:tc>
          <w:tcPr>
            <w:tcW w:type="dxa" w:w="17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Lista solo productos bajo mínimo</w:t>
            </w:r>
          </w:p>
        </w:tc>
        <w:tc>
          <w:tcPr>
            <w:tcW w:type="dxa" w:w="17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Aprobado</w:t>
            </w:r>
          </w:p>
        </w:tc>
      </w:tr>
      <w:tr>
        <w:tc>
          <w:tcPr>
            <w:tcW w:type="dxa" w:w="1728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IT-05</w:t>
            </w:r>
          </w:p>
        </w:tc>
        <w:tc>
          <w:tcPr>
            <w:tcW w:type="dxa" w:w="1728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Inventario</w:t>
            </w:r>
          </w:p>
        </w:tc>
        <w:tc>
          <w:tcPr>
            <w:tcW w:type="dxa" w:w="1728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Buscar por nombre</w:t>
            </w:r>
          </w:p>
        </w:tc>
        <w:tc>
          <w:tcPr>
            <w:tcW w:type="dxa" w:w="1728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Coincidencias relevantes</w:t>
            </w:r>
          </w:p>
        </w:tc>
        <w:tc>
          <w:tcPr>
            <w:tcW w:type="dxa" w:w="1728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Aprobado</w:t>
            </w:r>
          </w:p>
        </w:tc>
      </w:tr>
      <w:tr>
        <w:tc>
          <w:tcPr>
            <w:tcW w:type="dxa" w:w="17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IT-06</w:t>
            </w:r>
          </w:p>
        </w:tc>
        <w:tc>
          <w:tcPr>
            <w:tcW w:type="dxa" w:w="17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Productos</w:t>
            </w:r>
          </w:p>
        </w:tc>
        <w:tc>
          <w:tcPr>
            <w:tcW w:type="dxa" w:w="17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Abrir modal Agregar producto</w:t>
            </w:r>
          </w:p>
        </w:tc>
        <w:tc>
          <w:tcPr>
            <w:tcW w:type="dxa" w:w="17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Campos visibles y editables</w:t>
            </w:r>
          </w:p>
        </w:tc>
        <w:tc>
          <w:tcPr>
            <w:tcW w:type="dxa" w:w="17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Aprobado</w:t>
            </w:r>
          </w:p>
        </w:tc>
      </w:tr>
      <w:tr>
        <w:tc>
          <w:tcPr>
            <w:tcW w:type="dxa" w:w="1728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IT-07</w:t>
            </w:r>
          </w:p>
        </w:tc>
        <w:tc>
          <w:tcPr>
            <w:tcW w:type="dxa" w:w="1728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Productos</w:t>
            </w:r>
          </w:p>
        </w:tc>
        <w:tc>
          <w:tcPr>
            <w:tcW w:type="dxa" w:w="1728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Guardar sin datos completos</w:t>
            </w:r>
          </w:p>
        </w:tc>
        <w:tc>
          <w:tcPr>
            <w:tcW w:type="dxa" w:w="1728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Botón deshabilitado / validación</w:t>
            </w:r>
          </w:p>
        </w:tc>
        <w:tc>
          <w:tcPr>
            <w:tcW w:type="dxa" w:w="1728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Aprobado</w:t>
            </w:r>
          </w:p>
        </w:tc>
      </w:tr>
      <w:tr>
        <w:tc>
          <w:tcPr>
            <w:tcW w:type="dxa" w:w="17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IT-08</w:t>
            </w:r>
          </w:p>
        </w:tc>
        <w:tc>
          <w:tcPr>
            <w:tcW w:type="dxa" w:w="17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Reportes</w:t>
            </w:r>
          </w:p>
        </w:tc>
        <w:tc>
          <w:tcPr>
            <w:tcW w:type="dxa" w:w="17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Abrir Reportes</w:t>
            </w:r>
          </w:p>
        </w:tc>
        <w:tc>
          <w:tcPr>
            <w:tcW w:type="dxa" w:w="17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Resumen de ventas y stock</w:t>
            </w:r>
          </w:p>
        </w:tc>
        <w:tc>
          <w:tcPr>
            <w:tcW w:type="dxa" w:w="17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Aprobado</w:t>
            </w:r>
          </w:p>
        </w:tc>
      </w:tr>
      <w:tr>
        <w:tc>
          <w:tcPr>
            <w:tcW w:type="dxa" w:w="1728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IT-09</w:t>
            </w:r>
          </w:p>
        </w:tc>
        <w:tc>
          <w:tcPr>
            <w:tcW w:type="dxa" w:w="1728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Reportes</w:t>
            </w:r>
          </w:p>
        </w:tc>
        <w:tc>
          <w:tcPr>
            <w:tcW w:type="dxa" w:w="1728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Exportar CSV</w:t>
            </w:r>
          </w:p>
        </w:tc>
        <w:tc>
          <w:tcPr>
            <w:tcW w:type="dxa" w:w="1728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Se descarga archivo editable</w:t>
            </w:r>
          </w:p>
        </w:tc>
        <w:tc>
          <w:tcPr>
            <w:tcW w:type="dxa" w:w="1728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Aprobado</w:t>
            </w:r>
          </w:p>
        </w:tc>
      </w:tr>
      <w:tr>
        <w:tc>
          <w:tcPr>
            <w:tcW w:type="dxa" w:w="17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IT-10</w:t>
            </w:r>
          </w:p>
        </w:tc>
        <w:tc>
          <w:tcPr>
            <w:tcW w:type="dxa" w:w="17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Responsive</w:t>
            </w:r>
          </w:p>
        </w:tc>
        <w:tc>
          <w:tcPr>
            <w:tcW w:type="dxa" w:w="17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Abrir con ancho 390 px</w:t>
            </w:r>
          </w:p>
        </w:tc>
        <w:tc>
          <w:tcPr>
            <w:tcW w:type="dxa" w:w="17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Menú y tarjetas adaptadas</w:t>
            </w:r>
          </w:p>
        </w:tc>
        <w:tc>
          <w:tcPr>
            <w:tcW w:type="dxa" w:w="17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Aprobado</w:t>
            </w:r>
          </w:p>
        </w:tc>
      </w:tr>
      <w:tr>
        <w:tc>
          <w:tcPr>
            <w:tcW w:type="dxa" w:w="1728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IT-11</w:t>
            </w:r>
          </w:p>
        </w:tc>
        <w:tc>
          <w:tcPr>
            <w:tcW w:type="dxa" w:w="1728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Asistente</w:t>
            </w:r>
          </w:p>
        </w:tc>
        <w:tc>
          <w:tcPr>
            <w:tcW w:type="dxa" w:w="1728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Consultar Stock bajo</w:t>
            </w:r>
          </w:p>
        </w:tc>
        <w:tc>
          <w:tcPr>
            <w:tcW w:type="dxa" w:w="1728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Respuesta con productos y cantidad</w:t>
            </w:r>
          </w:p>
        </w:tc>
        <w:tc>
          <w:tcPr>
            <w:tcW w:type="dxa" w:w="1728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Aprobado</w:t>
            </w:r>
          </w:p>
        </w:tc>
      </w:tr>
      <w:tr>
        <w:tc>
          <w:tcPr>
            <w:tcW w:type="dxa" w:w="17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IT-12</w:t>
            </w:r>
          </w:p>
        </w:tc>
        <w:tc>
          <w:tcPr>
            <w:tcW w:type="dxa" w:w="17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Build</w:t>
            </w:r>
          </w:p>
        </w:tc>
        <w:tc>
          <w:tcPr>
            <w:tcW w:type="dxa" w:w="17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Ejecutar pnpm run build</w:t>
            </w:r>
          </w:p>
        </w:tc>
        <w:tc>
          <w:tcPr>
            <w:tcW w:type="dxa" w:w="17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Compilación sin errores</w:t>
            </w:r>
          </w:p>
        </w:tc>
        <w:tc>
          <w:tcPr>
            <w:tcW w:type="dxa" w:w="17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Aprobado</w:t>
            </w:r>
          </w:p>
        </w:tc>
      </w:tr>
      <w:tr>
        <w:tc>
          <w:tcPr>
            <w:tcW w:type="dxa" w:w="1728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IT-13</w:t>
            </w:r>
          </w:p>
        </w:tc>
        <w:tc>
          <w:tcPr>
            <w:tcW w:type="dxa" w:w="1728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Java</w:t>
            </w:r>
          </w:p>
        </w:tc>
        <w:tc>
          <w:tcPr>
            <w:tcW w:type="dxa" w:w="1728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Ejecutar integración de venta</w:t>
            </w:r>
          </w:p>
        </w:tc>
        <w:tc>
          <w:tcPr>
            <w:tcW w:type="dxa" w:w="1728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IT-02 OK</w:t>
            </w:r>
          </w:p>
        </w:tc>
        <w:tc>
          <w:tcPr>
            <w:tcW w:type="dxa" w:w="1728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Aprobado</w:t>
            </w:r>
          </w:p>
        </w:tc>
      </w:tr>
      <w:tr>
        <w:tc>
          <w:tcPr>
            <w:tcW w:type="dxa" w:w="17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IT-14</w:t>
            </w:r>
          </w:p>
        </w:tc>
        <w:tc>
          <w:tcPr>
            <w:tcW w:type="dxa" w:w="17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Documentación</w:t>
            </w:r>
          </w:p>
        </w:tc>
        <w:tc>
          <w:tcPr>
            <w:tcW w:type="dxa" w:w="17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Revisar archivos Word</w:t>
            </w:r>
          </w:p>
        </w:tc>
        <w:tc>
          <w:tcPr>
            <w:tcW w:type="dxa" w:w="17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Editables, con títulos y tablas</w:t>
            </w:r>
          </w:p>
        </w:tc>
        <w:tc>
          <w:tcPr>
            <w:tcW w:type="dxa" w:w="1728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Pendiente firma</w:t>
            </w:r>
          </w:p>
        </w:tc>
      </w:tr>
    </w:tbl>
    <w:p/>
    <w:p>
      <w:pPr>
        <w:pStyle w:val="Heading1"/>
      </w:pPr>
      <w:r>
        <w:t>3. Evidencias que deben adjuntarse</w:t>
      </w:r>
    </w:p>
    <w:p>
      <w:pPr>
        <w:pStyle w:val="ListBullet"/>
      </w:pPr>
      <w:r>
        <w:t>Captura del Dashboard en escritorio.</w:t>
      </w:r>
    </w:p>
    <w:p>
      <w:pPr>
        <w:pStyle w:val="ListBullet"/>
      </w:pPr>
      <w:r>
        <w:t>Captura del Dashboard en móvil.</w:t>
      </w:r>
    </w:p>
    <w:p>
      <w:pPr>
        <w:pStyle w:val="ListBullet"/>
      </w:pPr>
      <w:r>
        <w:t>Captura del mensaje de venta registrada.</w:t>
      </w:r>
    </w:p>
    <w:p>
      <w:pPr>
        <w:pStyle w:val="ListBullet"/>
      </w:pPr>
      <w:r>
        <w:t>Captura del stock antes y después de una venta.</w:t>
      </w:r>
    </w:p>
    <w:p>
      <w:pPr>
        <w:pStyle w:val="ListBullet"/>
      </w:pPr>
      <w:r>
        <w:t>Captura del filtro de stock bajo.</w:t>
      </w:r>
    </w:p>
    <w:p>
      <w:pPr>
        <w:pStyle w:val="ListBullet"/>
      </w:pPr>
      <w:r>
        <w:t>Registro de build y prueba Java.</w:t>
      </w:r>
    </w:p>
    <w:p>
      <w:pPr>
        <w:pStyle w:val="ListBullet"/>
      </w:pPr>
      <w:r>
        <w:t>Firma o validación del usuario responsable de la bodega, si corresponde.</w:t>
      </w:r>
    </w:p>
    <w:p>
      <w:pPr>
        <w:pStyle w:val="Heading1"/>
      </w:pPr>
      <w:r>
        <w:t>4. Registro de ejecución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</w:trPr>
        <w:tc>
          <w:tcPr>
            <w:tcW w:type="dxa" w:w="216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Fecha</w:t>
            </w:r>
          </w:p>
        </w:tc>
        <w:tc>
          <w:tcPr>
            <w:tcW w:type="dxa" w:w="216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Ejecutor</w:t>
            </w:r>
          </w:p>
        </w:tc>
        <w:tc>
          <w:tcPr>
            <w:tcW w:type="dxa" w:w="216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Ambiente / navegador</w:t>
            </w:r>
          </w:p>
        </w:tc>
        <w:tc>
          <w:tcPr>
            <w:tcW w:type="dxa" w:w="216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Observaciones</w:t>
            </w:r>
          </w:p>
        </w:tc>
      </w:tr>
      <w:tr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[Completar]</w:t>
            </w:r>
          </w:p>
        </w:tc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[Completar]</w:t>
            </w:r>
          </w:p>
        </w:tc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[Completar]</w:t>
            </w:r>
          </w:p>
        </w:tc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[Completar]</w:t>
            </w:r>
          </w:p>
        </w:tc>
      </w:tr>
      <w:tr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[Completar]</w:t>
            </w:r>
          </w:p>
        </w:tc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[Completar]</w:t>
            </w:r>
          </w:p>
        </w:tc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[Completar]</w:t>
            </w:r>
          </w:p>
        </w:tc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[Completar]</w:t>
            </w:r>
          </w:p>
        </w:tc>
      </w:tr>
    </w:tbl>
    <w:p/>
    <w:p>
      <w:pPr>
        <w:pStyle w:val="Heading1"/>
      </w:pPr>
      <w:r>
        <w:t>5. Aceptación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Nombre / firma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Fecha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Equipo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[Completar]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[Completar]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Docente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Judith Jiménez Monago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[Completar]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Usuario validador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[Completar]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[Completar]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1701" w:right="1417" w:bottom="170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B7280"/>
        <w:sz w:val="16"/>
      </w:rPr>
      <w:t xml:space="preserve">EFSR14908  ·  Documento editable  ·  Página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7280"/>
        <w:sz w:val="16"/>
      </w:rPr>
      <w:t>BODEGA NORTE  |  EFSR14908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Arial" w:hAnsi="Arial" w:eastAsia="Arial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0294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00"/>
      <w:contextualSpacing/>
    </w:pPr>
    <w:rPr>
      <w:rFonts w:asciiTheme="majorHAnsi" w:eastAsiaTheme="majorEastAsia" w:hAnsiTheme="majorHAnsi" w:cstheme="majorBidi" w:ascii="Arial" w:hAnsi="Arial" w:eastAsia="Arial"/>
      <w:b/>
      <w:color w:val="10294B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