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Informe de avance del proyecto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no consignado en los documentos recibidos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Gonzalo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4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1. Estado verificable del prototipo</w:t>
      </w:r>
    </w:p>
    <w:p>
      <w:r>
        <w:rPr>
          <w:rFonts w:ascii="Arial" w:hAnsi="Arial" w:eastAsia="Arial"/>
          <w:color w:val="000000"/>
          <w:sz w:val="22"/>
        </w:rPr>
        <w:t>Este documento describe el estado del código disponible al preparar el paquete, con fecha 4 de octubre de 2026. No certifica que el equipo haya presentado exactamente este avance en la semana 10 ni calcula un porcentaje de ejecución según la rúbrica.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Área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Estado del código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Límite de la evidencia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Interfaz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Hay vistas para inicio, venta, productos, inventario, reportes y configuración.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Pendiente aceptación manual del Grupo 10.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Ventas API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El código valida stock y descuenta unidades dentro de una transacción PostgreSQL.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Conexión y disponibilidad remota verificadas; falta la prueba autenticada de venta.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Base de datos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Esquema SQL con categorías, proveedores, productos, ventas y líneas.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Datos de ejemplo; sin uso de una bodega real.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Reportes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La interfaz calcula reportes por período y exporta inventario, ventas y movimientos a CSV.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Descarga pendiente de prueba visual por el equipo.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Asistente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La demo local ofrece respuestas de muestra; contrato Watson documentado.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Servicio Watson no conectado.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2. Historias priorizadas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Historia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Criterio de aceptación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Consultar productos y existencias.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La vista y `GET /api/products` exponen código, categoría, stock, mínimo y precio.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Implementado; revisión de interfaz pendiente.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Registrar una venta.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El código API valida los datos, registra líneas y descuenta stock.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Prueba anterior en SQL Server; pendiente validar la migración Supabase.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Rechazar exceso de venta.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El código API devuelve HTTP 400 y no altera el stock.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Prueba anterior en SQL Server; pendiente validar la migración Supabase.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Identificar stock bajo.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 considera bajo cuando stock es menor o igual al mínimo.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Implementado en interfaz; revisión manual pendiente.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Exportar inventario.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El CSV contiene código, nombre, categoría, stock, mínimo, precio y proveedor.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Incluido en código; aceptación manual pendiente.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Consultar ayuda.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El asistente local ofrece respuesta de muestra.</w:t>
            </w:r>
          </w:p>
        </w:tc>
        <w:tc>
          <w:tcPr>
            <w:tcW w:type="dxa" w:w="288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Demo local; Watson pendiente.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3. Arquitectura</w:t>
      </w:r>
    </w:p>
    <w:p>
      <w:r>
        <w:rPr>
          <w:rFonts w:ascii="Arial" w:hAnsi="Arial" w:eastAsia="Arial"/>
          <w:color w:val="000000"/>
          <w:sz w:val="22"/>
        </w:rPr>
        <w:t>La aplicación React funciona como vista. Los controladores ASP.NET reciben operaciones; BodegaService valida los casos de uso y BodegaRepository ejecuta consultas y transacciones PostgreSQL con Npgsql. El modo demo utiliza localStorage y no necesita el backend. Ambos modos se documentan por separado.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2510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wnpzxg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0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Figura 1. Flujo de componentes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4. Responsabilidades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Rol declarado en el Entregable 1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Integrante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Líder del proyecto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Gonzalo Yoel Choque Becerra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Desarrollador frontend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Adrian Alexander Berrocal Villanueva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Responsable de base de datos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Lalo Alessandro Eugenio Montalvo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Desarrollador backend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Juan Diego Romero Peralta</w:t>
            </w:r>
          </w:p>
        </w:tc>
      </w:tr>
    </w:tbl>
    <w:p/>
    <w:p>
      <w:r>
        <w:rPr>
          <w:rFonts w:ascii="Arial" w:hAnsi="Arial" w:eastAsia="Arial"/>
          <w:color w:val="000000"/>
          <w:sz w:val="22"/>
        </w:rPr>
        <w:t>Los roles provienen del Entregable 1 entregado por el estudiante. Este informe no añade un historial de tareas individuales, actas de reunión ni firmas.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5. Validaciones ejecutadas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Validación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Frontend: npm run build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Correcto el 28-09-2026; 16 módulos transformados.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Backend: dotnet build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Correcto el 28-09-2026; cero advertencias y cero errores.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 y descuento de stock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Prueba histórica SQL Server; no valida PostgreSQL.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 por encima del stock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Prueba histórica SQL Server; no valida PostgreSQL.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Interfaz, responsive, CSV y aceptación de usuario</w:t>
            </w:r>
          </w:p>
        </w:tc>
        <w:tc>
          <w:tcPr>
            <w:tcW w:type="dxa" w:w="4320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Pendiente de revisión del Grupo 10.</w:t>
            </w:r>
          </w:p>
        </w:tc>
      </w:tr>
    </w:tbl>
    <w:p/>
    <w:p>
      <w:r>
        <w:rPr>
          <w:rFonts w:ascii="Arial" w:hAnsi="Arial"/>
          <w:color w:val="000000"/>
          <w:sz w:val="22"/>
        </w:rPr>
        <w:t>El registro detallado se adjunta como Anexo de evidencias de validación técnica de Bodega Norte, en el archivo Anexo_Evidencias_Tecnicas_Grupo10.docx. Incluye los registros del 28 de septiembre y del 4 de octubre de 2026. La prueba HTTP de venta y stock corresponde a SQL Server. La conexión del backend Npgsql con Supabase se verificó el 4 de octubre; la prueba autenticada de venta y stock en PostgreSQL permanece pendiente.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6. Plan de integración continua</w:t>
      </w:r>
    </w:p>
    <w:p>
      <w:r>
        <w:rPr>
          <w:rFonts w:ascii="Arial" w:hAnsi="Arial" w:eastAsia="Arial"/>
          <w:color w:val="000000"/>
          <w:sz w:val="22"/>
        </w:rPr>
        <w:t>El workflow `.github/workflows/ci.yml` compila los dos modos del frontend, compila la solución .NET y verifica que el programa Java compile. El workflow de GitHub Pages publica el frontend conectado a la API de Render. La prueba HTTP de venta con PostgreSQL queda pendiente de ejecutar contra el proyecto Supabase de desarrollo.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7. Acciones antes de una entrega académica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Revisar los flujos de interfaz y guardar evidencia con ejecutor y fecha reales.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Confirmar el calendario final del curso; el sílabo 2026 y el Anexo 4 Nivel 2 indican semanas distintas.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Validar los roles y los criterios de aceptación con el equipo.</w:t>
      </w:r>
    </w:p>
    <w:p>
      <w:pPr>
        <w:pStyle w:val="ListBullet"/>
      </w:pPr>
      <w:r>
        <w:rPr>
          <w:rFonts w:ascii="Arial" w:hAnsi="Arial" w:eastAsia="Arial"/>
          <w:color w:val="000000"/>
          <w:sz w:val="22"/>
        </w:rPr>
        <w:t>Mantener sin datos personales reales la base de demostración y completar seguridad antes de producción.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Actualización operativa al 04-10-2026</w:t>
      </w:r>
    </w:p>
    <w:p>
      <w:r>
        <w:rPr>
          <w:rFonts w:ascii="Arial" w:hAnsi="Arial" w:eastAsia="Arial"/>
          <w:color w:val="000000"/>
          <w:sz w:val="22"/>
        </w:rPr>
        <w:t>Se implementaron Supabase Auth y permisos administrador/cajero, ajustes con motivo y control de versión, venta con identificador de reintento, anulaciones con devolución única de stock, historial y constancia interna, proveedores y configuración persistentes, auditoría y respaldo JSON. Los reportes usan fecha de Lima y detalles de venta; no se inventan costos históricos.</w:t>
      </w:r>
    </w:p>
    <w:p>
      <w:r>
        <w:rPr>
          <w:rFonts w:ascii="Arial" w:hAnsi="Arial" w:eastAsia="Arial"/>
          <w:color w:val="000000"/>
          <w:sz w:val="22"/>
        </w:rPr>
        <w:t>Validación técnica: 18 pruebas locales aprobadas y compilaciones correctas. El 4 de octubre de 2026 se verificaron Render, la conexión TLS con Supabase, el rechazo de acceso anónimo y el ingreso de la cuenta inicial como administrador activo. GitHub Pages usa la API remota. Las pruebas de escritura autenticada y la aceptación del Grupo 10 permanecen pendientes. Las nuevas capturas de la sección 8 documentan el modo de demostración local.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8. Evidencias visuales</w:t>
      </w:r>
    </w:p>
    <w:p>
      <w:r>
        <w:rPr>
          <w:rFonts w:ascii="Arial" w:hAnsi="Arial" w:eastAsia="Arial"/>
          <w:color w:val="000000"/>
          <w:sz w:val="22"/>
        </w:rPr>
        <w:t>La sección reúne seis capturas: las dos referencias de escritorio y móvil del informe original y cuatro vistas complementarias obtenidas el 11 de octubre de 2026. Las capturas nuevas corresponden a la demostración local con datos ficticios; documentan la interfaz y no constituyen aceptación de una bodega real ni una prueba de persistencia en Supabase.</w:t>
      </w:r>
    </w:p>
    <w:p>
      <w:pPr>
        <w:pStyle w:val="Heading2"/>
        <w:keepNext/>
        <w:keepLines/>
      </w:pPr>
      <w:r>
        <w:rPr>
          <w:rFonts w:ascii="Arial" w:hAnsi="Arial" w:eastAsia="Arial"/>
          <w:color w:val="000000"/>
          <w:sz w:val="22"/>
        </w:rPr>
        <w:t>8.1 Panel en escritorio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87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cwe20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Captura 1. Referencia visual del panel en escritorio</w:t>
      </w:r>
    </w:p>
    <w:p>
      <w:r>
        <w:rPr>
          <w:rFonts w:ascii="Arial" w:hAnsi="Arial" w:eastAsia="Arial"/>
          <w:color w:val="000000"/>
          <w:sz w:val="22"/>
        </w:rPr>
        <w:t>El panel presenta indicadores de ventas, existencias y productos por reponer. Esta imagen conserva la referencia visual incluida en el informe original.</w:t>
      </w:r>
    </w:p>
    <w:p>
      <w:pPr>
        <w:pStyle w:val="Heading2"/>
        <w:keepNext/>
        <w:keepLines/>
      </w:pPr>
      <w:r>
        <w:rPr>
          <w:rFonts w:ascii="Arial" w:hAnsi="Arial" w:eastAsia="Arial"/>
          <w:color w:val="000000"/>
          <w:sz w:val="22"/>
        </w:rPr>
        <w:t>8.2 Panel en móvil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2926080" cy="633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krp7a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Captura 2. Referencia visual del panel en móvil</w:t>
      </w:r>
    </w:p>
    <w:p>
      <w:r>
        <w:rPr>
          <w:rFonts w:ascii="Arial" w:hAnsi="Arial" w:eastAsia="Arial"/>
          <w:color w:val="000000"/>
          <w:sz w:val="22"/>
        </w:rPr>
        <w:t>La disposición móvil reúne los indicadores y la actividad de ventas en una columna. Se conserva como referencia del diseño responsive.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2"/>
        <w:keepNext/>
        <w:keepLines/>
      </w:pPr>
      <w:r>
        <w:rPr>
          <w:rFonts w:ascii="Arial" w:hAnsi="Arial" w:eastAsia="Arial"/>
          <w:color w:val="000000"/>
          <w:sz w:val="22"/>
        </w:rPr>
        <w:t>8.3 Consulta del inventario</w:t>
      </w:r>
    </w:p>
    <w:p>
      <w:r>
        <w:rPr>
          <w:rFonts w:ascii="Arial" w:hAnsi="Arial" w:eastAsia="Arial"/>
          <w:color w:val="000000"/>
          <w:sz w:val="22"/>
        </w:rPr>
        <w:t>Captura obtenida el 11 de octubre de 2026 en el modo de demostración local de Bodega Norte.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971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f_goz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Captura 3. Inventario en la demostración local</w:t>
      </w:r>
    </w:p>
    <w:p>
      <w:r>
        <w:rPr>
          <w:rFonts w:ascii="Arial" w:hAnsi="Arial" w:eastAsia="Arial"/>
          <w:color w:val="000000"/>
          <w:sz w:val="22"/>
        </w:rPr>
        <w:t>La vista muestra la búsqueda por producto, código, categoría o proveedor; el filtro por disponibilidad; y las columnas de stock, precio, proveedor y estado. Las etiquetas de stock bajo permiten ubicar productos que requieren reposición.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2"/>
        <w:keepNext/>
        <w:keepLines/>
      </w:pPr>
      <w:r>
        <w:rPr>
          <w:rFonts w:ascii="Arial" w:hAnsi="Arial" w:eastAsia="Arial"/>
          <w:color w:val="000000"/>
          <w:sz w:val="22"/>
        </w:rPr>
        <w:t>8.4 Preparación de una venta</w:t>
      </w:r>
    </w:p>
    <w:p>
      <w:r>
        <w:rPr>
          <w:rFonts w:ascii="Arial" w:hAnsi="Arial" w:eastAsia="Arial"/>
          <w:color w:val="000000"/>
          <w:sz w:val="22"/>
        </w:rPr>
        <w:t>Captura obtenida el 11 de octubre de 2026 en el modo de demostración local de Bodega Norte.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971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4a6b3p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Captura 4. Carrito de venta en la demostración local</w:t>
      </w:r>
    </w:p>
    <w:p>
      <w:r>
        <w:rPr>
          <w:rFonts w:ascii="Arial" w:hAnsi="Arial" w:eastAsia="Arial"/>
          <w:color w:val="000000"/>
          <w:sz w:val="22"/>
        </w:rPr>
        <w:t>El punto de venta reúne el catálogo, las categorías y el carrito. La captura muestra una unidad de Leche Gloria 1L y una unidad de Gaseosa Inca Kola 1.5L, con un total de S/ 13.00. Corresponde a una venta en preparación; no se confirmó el cobro ni se registró una transacción.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2"/>
        <w:keepNext/>
        <w:keepLines/>
      </w:pPr>
      <w:r>
        <w:rPr>
          <w:rFonts w:ascii="Arial" w:hAnsi="Arial" w:eastAsia="Arial"/>
          <w:color w:val="000000"/>
          <w:sz w:val="22"/>
        </w:rPr>
        <w:t>8.5 Consulta de proveedores</w:t>
      </w:r>
    </w:p>
    <w:p>
      <w:r>
        <w:rPr>
          <w:rFonts w:ascii="Arial" w:hAnsi="Arial" w:eastAsia="Arial"/>
          <w:color w:val="000000"/>
          <w:sz w:val="22"/>
        </w:rPr>
        <w:t>Captura obtenida el 11 de octubre de 2026 en el modo de demostración local de Bodega Norte.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956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6qzusx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5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Captura 5. Proveedores en la demostración local</w:t>
      </w:r>
    </w:p>
    <w:p>
      <w:r>
        <w:rPr>
          <w:rFonts w:ascii="Arial" w:hAnsi="Arial" w:eastAsia="Arial"/>
          <w:color w:val="000000"/>
          <w:sz w:val="22"/>
        </w:rPr>
        <w:t>Las tarjetas agrupan el nombre del proveedor, el contacto de ejemplo, el teléfono de demostración y la cantidad de productos asociados. Se muestran las opciones de consulta, edición y eliminación, sin registrar cambios en los proveedores.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2"/>
        <w:keepNext/>
        <w:keepLines/>
      </w:pPr>
      <w:r>
        <w:rPr>
          <w:rFonts w:ascii="Arial" w:hAnsi="Arial" w:eastAsia="Arial"/>
          <w:color w:val="000000"/>
          <w:sz w:val="22"/>
        </w:rPr>
        <w:t>8.6 Consulta de reportes</w:t>
      </w:r>
    </w:p>
    <w:p>
      <w:r>
        <w:rPr>
          <w:rFonts w:ascii="Arial" w:hAnsi="Arial" w:eastAsia="Arial"/>
          <w:color w:val="000000"/>
          <w:sz w:val="22"/>
        </w:rPr>
        <w:t>Captura obtenida el 11 de octubre de 2026 en el modo de demostración local de Bodega Norte.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577840" cy="3971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8i42qt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000000"/>
          <w:sz w:val="22"/>
        </w:rPr>
        <w:t>Captura 6. Reportes en la demostración local</w:t>
      </w:r>
    </w:p>
    <w:p>
      <w:r>
        <w:rPr>
          <w:rFonts w:ascii="Arial" w:hAnsi="Arial" w:eastAsia="Arial"/>
          <w:color w:val="000000"/>
          <w:sz w:val="22"/>
        </w:rPr>
        <w:t>Los controles Desde y Hasta delimitan el período. La vista presenta ventas, unidades, margen, productos por reponer, ranking y medios de pago. Los valores pertenecen al conjunto de demostración y no representan resultados comerciales reales.</w:t>
      </w:r>
    </w:p>
    <w:sectPr w:rsidR="00FC693F" w:rsidRPr="0006063C" w:rsidSect="00034616">
      <w:headerReference w:type="default" r:id="rId16"/>
      <w:footerReference w:type="default" r:id="rId17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