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</w:p>
    <w:p>
      <w:pPr>
        <w:pStyle w:val="Title"/>
        <w:jc w:val="center"/>
      </w:pPr>
      <w:r>
        <w:rPr>
          <w:rFonts w:ascii="Arial" w:hAnsi="Arial" w:eastAsia="Arial"/>
          <w:b/>
          <w:color w:val="000000"/>
          <w:sz w:val="22"/>
        </w:rPr>
        <w:t>BODEGA NORTE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Guía de instalación Bodega Norte</w:t>
      </w:r>
    </w:p>
    <w:p>
      <w:pPr>
        <w:jc w:val="center"/>
      </w:pPr>
      <w:r>
        <w:rPr>
          <w:rFonts w:ascii="Arial" w:hAnsi="Arial" w:eastAsia="Arial"/>
          <w:b/>
          <w:color w:val="000000"/>
          <w:sz w:val="22"/>
        </w:rPr>
        <w:t>Experiencias Formativas en Situaciones Reales de Trabajo III (EFSR14908)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Judith Jenny Jimenez Monago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Ciclo cuarto | Periodo 2026 | Semestre por confirmar</w:t>
      </w:r>
    </w:p>
    <w:p>
      <w:pPr>
        <w:jc w:val="center"/>
      </w:pPr>
      <w:r>
        <w:rPr>
          <w:rFonts w:ascii="Arial" w:hAnsi="Arial" w:eastAsia="Arial"/>
          <w:color w:val="000000"/>
          <w:sz w:val="22"/>
        </w:rPr>
        <w:t>Grupo 10</w:t>
      </w:r>
    </w:p>
    <w:p/>
    <w:p>
      <w:pPr>
        <w:jc w:val="left"/>
      </w:pPr>
      <w:r>
        <w:rPr>
          <w:rFonts w:ascii="Arial" w:hAnsi="Arial" w:eastAsia="Arial"/>
          <w:color w:val="000000"/>
          <w:sz w:val="22"/>
        </w:rPr>
        <w:t>Coordinador: Gonsalo Yoel Choque Becerra</w:t>
      </w:r>
    </w:p>
    <w:p>
      <w:r>
        <w:rPr>
          <w:rFonts w:ascii="Arial" w:hAnsi="Arial" w:eastAsia="Arial"/>
          <w:color w:val="000000"/>
          <w:sz w:val="22"/>
        </w:rPr>
        <w:t>Integrantes: Adrian Alexander Berrocal Villanueva; Lalo Alessandro Eugenio Montalvo; Juan Diego Romero Peralta</w:t>
      </w:r>
    </w:p>
    <w:p>
      <w:r>
        <w:rPr>
          <w:rFonts w:ascii="Arial" w:hAnsi="Arial" w:eastAsia="Arial"/>
          <w:color w:val="000000"/>
          <w:sz w:val="22"/>
        </w:rPr>
        <w:t>Fecha de elaboración: 12 de octubre de 2026</w:t>
      </w:r>
    </w:p>
    <w:p>
      <w:r>
        <w:rPr>
          <w:rFonts w:ascii="Arial" w:hAnsi="Arial" w:eastAsia="Arial"/>
          <w:color w:val="000000"/>
          <w:sz w:val="22"/>
        </w:rPr>
        <w:br w:type="page"/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Requisitos y estructura</w:t>
      </w:r>
    </w:p>
    <w:p>
      <w:r>
        <w:rPr>
          <w:rFonts w:ascii="Arial" w:hAnsi="Arial" w:eastAsia="Arial"/>
          <w:color w:val="000000"/>
          <w:sz w:val="22"/>
        </w:rPr>
        <w:t>Instale Visual Studio con desarrollo ASP.NET y el SDK .NET 8, Node.js y pnpm. Java 17 o superior solo se requiere para la prueba Java. Extraiga todo el ZIP; la solución está en 06_Codigo/EFSR14908_Bodega_Norte/backend/BodegaNorte.sln.</w:t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Demostración local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1. Abra una terminal en la raíz del código y ejecute pnpm install --frozen-lockfile.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2. Ejecute pnpm run dev y abra la dirección que muestre Vite. La demo trabaja con datos ficticios locales.</w:t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Visual Studio con base compartida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1. Ejecute pnpm run build:visualstudio en la raíz del código.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2. Abra backend/BodegaNorte.sln; el proyecto de inicio es BodegaNorte.Api.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3. En el proyecto API, abra Manage User Secrets y configure los valores privados de la tabla. En este equipo ya están guardados; el ZIP no los incluye.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4. En una base nueva aplique schema.sql, upgrade_operations.sql y seed.sql, en ese orden. No vuelva a sembrar una base operativa.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5. Ejecute con F5 y visite https://localhost:7248 o http://localhost:5248. /api/health/ready confirma conexión y tablas.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cantSplit/>
          <w:tblHeader w:val="true"/>
        </w:trPr>
        <w:tc>
          <w:tcPr>
            <w:tcW w:type="dxa" w:w="432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Configuración privada</w:t>
            </w:r>
          </w:p>
        </w:tc>
        <w:tc>
          <w:tcPr>
            <w:tcW w:type="dxa" w:w="4320"/>
            <w:shd w:fill="0000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>Valor o procedencia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ConnectionStrings:BodegaNorte</w:t>
            </w:r>
          </w:p>
        </w:tc>
        <w:tc>
          <w:tcPr>
            <w:tcW w:type="dxa" w:w="5669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Cadena Npgsql del Session pooler Supabase con contraseña real y TLS VerifyFull.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Supabase:Url</w:t>
            </w:r>
          </w:p>
        </w:tc>
        <w:tc>
          <w:tcPr>
            <w:tcW w:type="dxa" w:w="5669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URL del proyecto Supabase conectado.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Supabase:PublishableKey</w:t>
            </w:r>
          </w:p>
        </w:tc>
        <w:tc>
          <w:tcPr>
            <w:tcW w:type="dxa" w:w="5669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Clave pública del proyecto; no es una service role.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BootstrapAdminEmail</w:t>
            </w:r>
          </w:p>
        </w:tc>
        <w:tc>
          <w:tcPr>
            <w:tcW w:type="dxa" w:w="5669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Correo del administrador inicial confirmado. Las demás cuentas se habilitan desde Configuración.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Watson:Enabled</w:t>
            </w:r>
          </w:p>
        </w:tc>
        <w:tc>
          <w:tcPr>
            <w:tcW w:type="dxa" w:w="5669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true después de configurar y verificar el asistente.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Watson:ServiceUrl</w:t>
            </w:r>
          </w:p>
        </w:tc>
        <w:tc>
          <w:tcPr>
            <w:tcW w:type="dxa" w:w="5669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Service instance URL del asistente en Assistant settings y API details; puede diferir de la URL general de Orchestrate.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Watson:AssistantId y Watson:EnvironmentId</w:t>
            </w:r>
          </w:p>
        </w:tc>
        <w:tc>
          <w:tcPr>
            <w:tcW w:type="dxa" w:w="5669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IDs del asistente y entorno Live.</w:t>
            </w:r>
          </w:p>
        </w:tc>
      </w:tr>
      <w:tr>
        <w:trPr>
          <w:cantSplit/>
        </w:trPr>
        <w:tc>
          <w:tcPr>
            <w:tcW w:type="dxa" w:w="340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Watson:ApiKey</w:t>
            </w:r>
          </w:p>
        </w:tc>
        <w:tc>
          <w:tcPr>
            <w:tcW w:type="dxa" w:w="5669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Arial" w:hAnsi="Arial" w:eastAsia="Arial"/>
                <w:color w:val="000000"/>
                <w:sz w:val="22"/>
              </w:rPr>
              <w:t>Clave privada IBM; solo en User Secrets o entorno del backend.</w:t>
            </w:r>
          </w:p>
        </w:tc>
      </w:tr>
    </w:tbl>
    <w:p/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Pruebas aisladas</w:t>
      </w:r>
    </w:p>
    <w:p>
      <w:r>
        <w:rPr>
          <w:rFonts w:ascii="Arial" w:hAnsi="Arial" w:eastAsia="Arial"/>
          <w:color w:val="000000"/>
          <w:sz w:val="22"/>
        </w:rPr>
        <w:t>Desde la raíz del código: dotnet run --project backend/BodegaNorte.Tools -c Release -- verify --report output/validacion_final.json. El comando crea esquemas desechables y ejecuta la API local con Auth e IBM simulados; no inserta cuentas ni ventas en la base principal. Necesita los secretos privados y Java disponible en PATH o en la ruta documentada del equipo de validación.</w:t>
      </w:r>
    </w:p>
    <w:p>
      <w:r>
        <w:rPr>
          <w:rFonts w:ascii="Arial" w:hAnsi="Arial" w:eastAsia="Arial"/>
          <w:color w:val="000000"/>
          <w:sz w:val="22"/>
        </w:rPr>
        <w:t>Para verificar IBM real: dotnet run --project backend/BodegaNorte.Tools -c Release -- assistant --report output/validacion_ibm.json. Ejecuta las ocho preguntas del archivo preguntas_frecuentes.json sin enviar datos de la base.</w:t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Recuperar PostgreSQL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1. Guarde el respaldo JSON privado descargado por el administrador.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2. Ejecute dotnet run --project backend/BodegaNorte.Tools -c Release -- restore "ruta/al/respaldo.json" --schema bodega_recovery_revision.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3. El destino debe ser nuevo y empezar por bodega_recovery_. El comando rechaza bodega_norte y esquemas existentes.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4. Compruebe los resultados y conteos. La herramienta no recrea contraseñas, Auth ni membresías; habilite los accesos mediante el procedimiento normal.</w:t>
      </w:r>
    </w:p>
    <w:p>
      <w:pPr>
        <w:ind w:left="369" w:hanging="369"/>
      </w:pPr>
      <w:r>
        <w:rPr>
          <w:rFonts w:ascii="Arial" w:hAnsi="Arial" w:eastAsia="Arial"/>
          <w:color w:val="000000"/>
          <w:sz w:val="22"/>
        </w:rPr>
        <w:t>5. Configure Database:Schema con el nuevo destino solo después de su revisión. Conserve el esquema original durante la recuperación.</w:t>
      </w:r>
    </w:p>
    <w:p>
      <w:pPr>
        <w:pStyle w:val="Heading1"/>
        <w:keepNext/>
        <w:keepLines/>
      </w:pPr>
      <w:r>
        <w:rPr>
          <w:rFonts w:ascii="Arial" w:hAnsi="Arial" w:eastAsia="Arial"/>
          <w:color w:val="000000"/>
          <w:sz w:val="22"/>
        </w:rPr>
        <w:t>Publicación</w:t>
      </w:r>
    </w:p>
    <w:p>
      <w:r>
        <w:rPr>
          <w:rFonts w:ascii="Arial" w:hAnsi="Arial" w:eastAsia="Arial"/>
          <w:color w:val="000000"/>
          <w:sz w:val="22"/>
        </w:rPr>
        <w:t>GitHub Pages aloja React; Render ejecuta ASP.NET Core MVC; Supabase conserva PostgreSQL y Auth. Los workflows compilan y publican desde master. En Render se usa __ para las claves anidadas, por ejemplo Watson__ApiKey. Las credenciales permanecen fuera del repositorio.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17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000000"/>
        <w:sz w:val="22"/>
      </w:rPr>
      <w:t xml:space="preserve">EFSR14908 | Página </w:t>
    </w:r>
    <w:r>
      <w:rPr>
        <w:rFonts w:ascii="Arial" w:hAnsi="Arial" w:eastAsia="Arial"/>
        <w:color w:val="000000"/>
        <w:sz w:val="22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000000"/>
        <w:sz w:val="22"/>
      </w:rPr>
      <w:t>BODEGA NORTE | EFSR14908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widowControl/>
      <w:spacing w:after="120" w:line="240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4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/>
      <w:contextualSpacing/>
    </w:pPr>
    <w:rPr>
      <w:rFonts w:ascii="Arial" w:hAnsi="Arial" w:eastAsia="Arial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Guia Instalacion</dc:title>
  <dc:subject/>
  <dc:creator>Grupo 10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