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22"/>
        </w:rPr>
        <w:t>BODEGA NORTE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Manual técnico Bodega Norte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2"/>
        </w:rPr>
        <w:t>Experiencias Formativas en Situaciones Reales de Trabajo III (EFSR14908)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Judith Jenny Jimenez Monago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Ciclo cuarto | Periodo 2026 | Semestre por confirmar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Grupo 10</w:t>
      </w:r>
    </w:p>
    <w:p/>
    <w:p>
      <w:pPr>
        <w:jc w:val="left"/>
      </w:pPr>
      <w:r>
        <w:rPr>
          <w:rFonts w:ascii="Arial" w:hAnsi="Arial" w:eastAsia="Arial"/>
          <w:color w:val="000000"/>
          <w:sz w:val="22"/>
        </w:rPr>
        <w:t>Coordinador: Gonsalo Yoel Choque Becerra</w:t>
      </w:r>
    </w:p>
    <w:p>
      <w:r>
        <w:rPr>
          <w:rFonts w:ascii="Arial" w:hAnsi="Arial" w:eastAsia="Arial"/>
          <w:color w:val="000000"/>
          <w:sz w:val="22"/>
        </w:rPr>
        <w:t>Integrantes: Adrian Alexander Berrocal Villanueva; Lalo Alessandro Eugenio Montalvo; Juan Diego Romero Peralta</w:t>
      </w:r>
    </w:p>
    <w:p>
      <w:r>
        <w:rPr>
          <w:rFonts w:ascii="Arial" w:hAnsi="Arial" w:eastAsia="Arial"/>
          <w:color w:val="000000"/>
          <w:sz w:val="22"/>
        </w:rPr>
        <w:t>Fecha de elaboración: 12 de octubre de 2026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Arquitectura</w:t>
      </w:r>
    </w:p>
    <w:p>
      <w:r>
        <w:rPr>
          <w:rFonts w:ascii="Arial" w:hAnsi="Arial" w:eastAsia="Arial"/>
          <w:color w:val="000000"/>
          <w:sz w:val="22"/>
        </w:rPr>
        <w:t>La vista React usa Supabase Auth para obtener una sesión. La API MVC valida el usuario en Supabase, exige correo confirmado y consulta members para obtener el rol. BodegaService aplica reglas y BodegaRepository usa Npgsql. El esquema privado bodega_norte contiene nueve tablas sin acceso directo para anon o authenticated.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207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lelgl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Arquitectura MVC y Supabase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Tabla</w:t>
            </w:r>
          </w:p>
        </w:tc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categories</w:t>
            </w:r>
          </w:p>
        </w:tc>
        <w:tc>
          <w:tcPr>
            <w:tcW w:type="dxa" w:w="6803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Clasificación de productos.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suppliers</w:t>
            </w:r>
          </w:p>
        </w:tc>
        <w:tc>
          <w:tcPr>
            <w:tcW w:type="dxa" w:w="6803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Contactos de proveedores.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products</w:t>
            </w:r>
          </w:p>
        </w:tc>
        <w:tc>
          <w:tcPr>
            <w:tcW w:type="dxa" w:w="6803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Stock, mínimo, costo, precio y versión.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sales</w:t>
            </w:r>
          </w:p>
        </w:tc>
        <w:tc>
          <w:tcPr>
            <w:tcW w:type="dxa" w:w="6803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Venta, estado, pago e identificador de reintento.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sale_items</w:t>
            </w:r>
          </w:p>
        </w:tc>
        <w:tc>
          <w:tcPr>
            <w:tcW w:type="dxa" w:w="6803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Productos y precios de la venta.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members</w:t>
            </w:r>
          </w:p>
        </w:tc>
        <w:tc>
          <w:tcPr>
            <w:tcW w:type="dxa" w:w="6803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Rol y acceso de identidades Supabase Auth.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settings</w:t>
            </w:r>
          </w:p>
        </w:tc>
        <w:tc>
          <w:tcPr>
            <w:tcW w:type="dxa" w:w="6803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Datos de la bodega y alertas.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stock_movements</w:t>
            </w:r>
          </w:p>
        </w:tc>
        <w:tc>
          <w:tcPr>
            <w:tcW w:type="dxa" w:w="6803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Cambios de stock con motivo y saldo.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audit_log</w:t>
            </w:r>
          </w:p>
        </w:tc>
        <w:tc>
          <w:tcPr>
            <w:tcW w:type="dxa" w:w="6803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Trazabilidad de operaciones administrativas.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Reglas y contratos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La venta usa requestId y bloqueos para confirmar una sola vez el mismo cobro; reutilizar la clave con otro contenido se rechaza.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El servidor valida disponibilidad, cantidades y precio. Las operaciones se confirman o revierten en transacciones ReadCommitted con bloqueos de filas.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Las actualizaciones de existencias comprueban expectedVersion. Las anulaciones son idempotentes y mantienen el límite numérico del stock.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El rol proviene de members; user_metadata no habilita privilegios. Un cajero no accede a rutas administrativas.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El respaldo PostgreSQL es formato postgresql-v2; la demo usa demo-v2. No se importan formatos cruzados.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Los reportes usan America/Lima y excluyen anulaciones; no inventan costos de ventas históricas.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POST /api/assistant/message exige Staff, máximo 500 caracteres y 20 consultas por minuto por usuario. GET /api/assistant/status informa configuración sin exponer la clave.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Recuperación y operación</w:t>
      </w:r>
    </w:p>
    <w:p>
      <w:r>
        <w:rPr>
          <w:rFonts w:ascii="Arial" w:hAnsi="Arial" w:eastAsia="Arial"/>
          <w:color w:val="000000"/>
          <w:sz w:val="22"/>
        </w:rPr>
        <w:t>BodegaNorte.Tools recupera únicamente tablas autorizadas en un esquema nuevo, con validación y rollback completo ante errores. No restaura miembros ni usuarios Auth. La readiness comprueba las nueve tablas y las columnas de operación. Supabase exige validación TLS del servidor y certificado público incluido.</w:t>
      </w:r>
    </w:p>
    <w:p>
      <w:r>
        <w:rPr>
          <w:rFonts w:ascii="Arial" w:hAnsi="Arial" w:eastAsia="Arial"/>
          <w:color w:val="000000"/>
          <w:sz w:val="22"/>
        </w:rPr>
        <w:t>Validación final al 11 de octubre de 2026: 25 pruebas locales, 17 casos de backend HTTP con PostgreSQL aislado, 11 recorridos de interfaz y 8 consultas contra IBM real aprobados. El programa Java se ejecutó contra el backend de prueba. Las respuestas de Supabase Auth e IBM de los 17 casos son fixtures locales; las 8 consultas IBM tienen registro independiente de conexión real. La base principal no cambió durante las pruebas. La aceptación por personas del Grupo 10 o una bodega real y las horas de asistencia no se certifican con estas pruebas.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22"/>
      </w:rPr>
      <w:t xml:space="preserve">EFSR14908 | Página </w:t>
    </w:r>
    <w:r>
      <w:rPr>
        <w:rFonts w:ascii="Arial" w:hAnsi="Arial" w:eastAsia="Arial"/>
        <w:color w:val="00000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Manual Tecnico</dc:title>
  <dc:subject/>
  <dc:creator>Grupo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