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p>
      <w:pPr>
        <w:pStyle w:val="Title"/>
        <w:jc w:val="center"/>
      </w:pPr>
      <w:r>
        <w:rPr>
          <w:rFonts w:ascii="Arial" w:hAnsi="Arial" w:eastAsia="Arial"/>
          <w:b/>
          <w:color w:val="000000"/>
          <w:sz w:val="22"/>
        </w:rPr>
        <w:t>BODEGA NORTE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Integración Watson Assistant Bodega Norte</w:t>
      </w:r>
    </w:p>
    <w:p>
      <w:pPr>
        <w:jc w:val="center"/>
      </w:pPr>
      <w:r>
        <w:rPr>
          <w:rFonts w:ascii="Arial" w:hAnsi="Arial" w:eastAsia="Arial"/>
          <w:b/>
          <w:color w:val="000000"/>
          <w:sz w:val="22"/>
        </w:rPr>
        <w:t>Experiencias Formativas en Situaciones Reales de Trabajo III (EFSR14908)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Judith Jenny Jimenez Monago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Ciclo cuarto | Periodo 2026 | Semestre por confirmar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Grupo 10</w:t>
      </w:r>
    </w:p>
    <w:p/>
    <w:p>
      <w:pPr>
        <w:jc w:val="left"/>
      </w:pPr>
      <w:r>
        <w:rPr>
          <w:rFonts w:ascii="Arial" w:hAnsi="Arial" w:eastAsia="Arial"/>
          <w:color w:val="000000"/>
          <w:sz w:val="22"/>
        </w:rPr>
        <w:t>Coordinador: Gonsalo Yoel Choque Becerra</w:t>
      </w:r>
    </w:p>
    <w:p>
      <w:r>
        <w:rPr>
          <w:rFonts w:ascii="Arial" w:hAnsi="Arial" w:eastAsia="Arial"/>
          <w:color w:val="000000"/>
          <w:sz w:val="22"/>
        </w:rPr>
        <w:t>Integrantes: Adrian Alexander Berrocal Villanueva; Lalo Alessandro Eugenio Montalvo; Juan Diego Romero Peralta</w:t>
      </w:r>
    </w:p>
    <w:p>
      <w:r>
        <w:rPr>
          <w:rFonts w:ascii="Arial" w:hAnsi="Arial" w:eastAsia="Arial"/>
          <w:color w:val="000000"/>
          <w:sz w:val="22"/>
        </w:rPr>
        <w:t>Fecha de elaboración: 12 de octubre de 2026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Implementación</w:t>
      </w:r>
    </w:p>
    <w:p>
      <w:r>
        <w:rPr>
          <w:rFonts w:ascii="Arial" w:hAnsi="Arial" w:eastAsia="Arial"/>
          <w:color w:val="000000"/>
          <w:sz w:val="22"/>
        </w:rPr>
        <w:t>Watson Assistant se utiliza mediante Assistant builder de watsonx Orchestrate. La instancia del Grupo 10 está en Sídney y usa Trial gratuito de 30 días. La versión 1 está en Live; las ocho respuestas se verificaron con la API v2 real. No se adquirió un plan de pago.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 w:val="true"/>
        </w:trPr>
        <w:tc>
          <w:tcPr>
            <w:tcW w:type="dxa" w:w="432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Consulta</w:t>
            </w:r>
          </w:p>
        </w:tc>
        <w:tc>
          <w:tcPr>
            <w:tcW w:type="dxa" w:w="432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Ejemplos y propósito</w:t>
            </w:r>
          </w:p>
        </w:tc>
      </w:tr>
      <w:tr>
        <w:trPr>
          <w:cantSplit/>
        </w:trPr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Cómo registro una venta</w:t>
            </w:r>
          </w:p>
        </w:tc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Registrar una venta</w:t>
            </w:r>
          </w:p>
        </w:tc>
      </w:tr>
      <w:tr>
        <w:trPr>
          <w:cantSplit/>
        </w:trPr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Cómo agrego un producto</w:t>
            </w:r>
          </w:p>
        </w:tc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Crear un producto</w:t>
            </w:r>
          </w:p>
        </w:tc>
      </w:tr>
      <w:tr>
        <w:trPr>
          <w:cantSplit/>
        </w:trPr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Cómo ajusto el stock</w:t>
            </w:r>
          </w:p>
        </w:tc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Registrar una entrada de inventario</w:t>
            </w:r>
          </w:p>
        </w:tc>
      </w:tr>
      <w:tr>
        <w:trPr>
          <w:cantSplit/>
        </w:trPr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Cómo anulo una venta</w:t>
            </w:r>
          </w:p>
        </w:tc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Cancelar una venta registrada</w:t>
            </w:r>
          </w:p>
        </w:tc>
      </w:tr>
      <w:tr>
        <w:trPr>
          <w:cantSplit/>
        </w:trPr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Cómo consulto los reportes</w:t>
            </w:r>
          </w:p>
        </w:tc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Ver las ventas de un periodo</w:t>
            </w:r>
          </w:p>
        </w:tc>
      </w:tr>
      <w:tr>
        <w:trPr>
          <w:cantSplit/>
        </w:trPr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Cómo creo un respaldo</w:t>
            </w:r>
          </w:p>
        </w:tc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Descargar la copia de seguridad</w:t>
            </w:r>
          </w:p>
        </w:tc>
      </w:tr>
      <w:tr>
        <w:trPr>
          <w:cantSplit/>
        </w:trPr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Qué permisos tiene el cajero</w:t>
            </w:r>
          </w:p>
        </w:tc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Diferencia entre administrador y cajero</w:t>
            </w:r>
          </w:p>
        </w:tc>
      </w:tr>
      <w:tr>
        <w:trPr>
          <w:cantSplit/>
        </w:trPr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Qué hago si olvidé mi contraseña</w:t>
            </w:r>
          </w:p>
        </w:tc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Recuperar la contraseña de mi cuenta</w:t>
            </w:r>
          </w:p>
        </w:tc>
      </w:tr>
    </w:tbl>
    <w:p/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Flujo y configuración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1. La interfaz ofrece IBM solo cuando GET /api/assistant/status indica configured true.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2. El usuario elige IBM y envía una consulta de hasta 500 caracteres.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3. La API valida la sesión Supabase y el rol Staff, limita la cuota y usa IAM para obtener un token IBM temporal.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4. El servidor llama al asistente y al entorno Live configurados; la clave nunca se envía al navegador.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5. La respuesta orienta sobre el uso del sistema; no ejecuta operaciones ni recibe el catálogo o las ventas.</w:t>
      </w:r>
    </w:p>
    <w:p>
      <w:r>
        <w:rPr>
          <w:rFonts w:ascii="Arial" w:hAnsi="Arial" w:eastAsia="Arial"/>
          <w:color w:val="000000"/>
          <w:sz w:val="22"/>
        </w:rPr>
        <w:t>User Secrets: Watson:Enabled, Watson:ServiceUrl, Watson:AssistantId, Watson:EnvironmentId y Watson:ApiKey. En Render se usan los mismos nombres con __. Obtenga la URL específica en Assistant settings, Assistant IDs and API details; no la confunda con la URL general de Orchestrate.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Contenido y reproducción</w:t>
      </w:r>
    </w:p>
    <w:p>
      <w:r>
        <w:rPr>
          <w:rFonts w:ascii="Arial" w:hAnsi="Arial" w:eastAsia="Arial"/>
          <w:color w:val="000000"/>
          <w:sz w:val="22"/>
        </w:rPr>
        <w:t>integration/watson/bodega_norte_acciones.json conserva el workspace de acciones sin credenciales. preguntas_frecuentes.json contiene ocho preguntas, respuestas y 32 ejemplos. El endpoint oficial Update skill permite importar el workspace a la habilidad de acciones; cree una versión y publíquela en Live después de entrenarla y comprobarla.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Validación y continuidad</w:t>
      </w:r>
    </w:p>
    <w:p>
      <w:r>
        <w:rPr>
          <w:rFonts w:ascii="Arial" w:hAnsi="Arial" w:eastAsia="Arial"/>
          <w:color w:val="000000"/>
          <w:sz w:val="22"/>
        </w:rPr>
        <w:t>La herramienta assistant de BodegaNorte.Tools ejecutó las ocho consultas y recibió sus respuestas esperadas. Los casos IBM del verificador aislado comprueban el contrato, configuración y cuota con un fixture; no se presentan como conexión real. El Trial vence tras 30 días. IBM requiere contratar otro plan para continuar; el proyecto mantiene ayuda local y no cambia automáticamente el plan.</w:t>
      </w:r>
    </w:p>
    <w:p>
      <w:r>
        <w:rPr>
          <w:rFonts w:ascii="Arial" w:hAnsi="Arial" w:eastAsia="Arial"/>
          <w:color w:val="000000"/>
          <w:sz w:val="22"/>
        </w:rPr>
        <w:t>Fuente: IBM Assistant v2 API, https://cloud.ibm.com/apidocs/assistant-v2; Trial, https://www.ibm.com/docs/en/watsonx/watson-orchestrate/base?topic=orchestrate-accessing-watsonx-trial-version.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000000"/>
        <w:sz w:val="22"/>
      </w:rPr>
      <w:t xml:space="preserve">EFSR14908 | Página </w:t>
    </w:r>
    <w:r>
      <w:rPr>
        <w:rFonts w:ascii="Arial" w:hAnsi="Arial" w:eastAsia="Arial"/>
        <w:color w:val="000000"/>
        <w:sz w:val="22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000000"/>
        <w:sz w:val="22"/>
      </w:rPr>
      <w:t>BODEGA NORTE | EFSR14908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20" w:line="240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Integracion Watson Assistant</dc:title>
  <dc:subject/>
  <dc:creator>Grupo 10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