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</w:p>
    <w:p>
      <w:pPr>
        <w:pStyle w:val="Title"/>
        <w:jc w:val="center"/>
      </w:pPr>
      <w:r>
        <w:rPr>
          <w:rFonts w:ascii="Arial" w:hAnsi="Arial" w:eastAsia="Arial"/>
          <w:b/>
          <w:color w:val="000000"/>
          <w:sz w:val="22"/>
        </w:rPr>
        <w:t>BODEGA NORTE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Backlog y criterios de aceptación Bodega Norte</w:t>
      </w:r>
    </w:p>
    <w:p>
      <w:pPr>
        <w:jc w:val="center"/>
      </w:pPr>
      <w:r>
        <w:rPr>
          <w:rFonts w:ascii="Arial" w:hAnsi="Arial" w:eastAsia="Arial"/>
          <w:b/>
          <w:color w:val="000000"/>
          <w:sz w:val="22"/>
        </w:rPr>
        <w:t>Experiencias Formativas en Situaciones Reales de Trabajo III (EFSR14908)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Judith Jenny Jimenez Monago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Ciclo cuarto | Periodo 2026 | Semestre por confirmar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Grupo 10</w:t>
      </w:r>
    </w:p>
    <w:p/>
    <w:p>
      <w:pPr>
        <w:jc w:val="left"/>
      </w:pPr>
      <w:r>
        <w:rPr>
          <w:rFonts w:ascii="Arial" w:hAnsi="Arial" w:eastAsia="Arial"/>
          <w:color w:val="000000"/>
          <w:sz w:val="22"/>
        </w:rPr>
        <w:t>Coordinador: Gonsalo Yoel Choque Becerra</w:t>
      </w:r>
    </w:p>
    <w:p>
      <w:r>
        <w:rPr>
          <w:rFonts w:ascii="Arial" w:hAnsi="Arial" w:eastAsia="Arial"/>
          <w:color w:val="000000"/>
          <w:sz w:val="22"/>
        </w:rPr>
        <w:t>Integrantes: Adrian Alexander Berrocal Villanueva; Lalo Alessandro Eugenio Montalvo; Juan Diego Romero Peralta</w:t>
      </w:r>
    </w:p>
    <w:p>
      <w:r>
        <w:rPr>
          <w:rFonts w:ascii="Arial" w:hAnsi="Arial" w:eastAsia="Arial"/>
          <w:color w:val="000000"/>
          <w:sz w:val="22"/>
        </w:rPr>
        <w:t>Fecha de elaboración: 12 de octubre de 2026</w:t>
      </w:r>
    </w:p>
    <w:p>
      <w:r>
        <w:rPr>
          <w:rFonts w:ascii="Arial" w:hAnsi="Arial" w:eastAsia="Arial"/>
          <w:color w:val="000000"/>
          <w:sz w:val="22"/>
        </w:rP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 w:val="true"/>
        </w:trPr>
        <w:tc>
          <w:tcPr>
            <w:tcW w:type="dxa" w:w="2880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Funcionalidad</w:t>
            </w:r>
          </w:p>
        </w:tc>
        <w:tc>
          <w:tcPr>
            <w:tcW w:type="dxa" w:w="2880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Criterio</w:t>
            </w:r>
          </w:p>
        </w:tc>
        <w:tc>
          <w:tcPr>
            <w:tcW w:type="dxa" w:w="2880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Verificación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Catálogo</w:t>
            </w:r>
          </w:p>
        </w:tc>
        <w:tc>
          <w:tcPr>
            <w:tcW w:type="dxa" w:w="4535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Alta, edición, archivo y búsqueda de productos.</w:t>
            </w:r>
          </w:p>
        </w:tc>
        <w:tc>
          <w:tcPr>
            <w:tcW w:type="dxa" w:w="2835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DATA-01 y UI-03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Venta</w:t>
            </w:r>
          </w:p>
        </w:tc>
        <w:tc>
          <w:tcPr>
            <w:tcW w:type="dxa" w:w="4535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Una venta por requestId y stock suficiente.</w:t>
            </w:r>
          </w:p>
        </w:tc>
        <w:tc>
          <w:tcPr>
            <w:tcW w:type="dxa" w:w="2835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SALE-01, SALE-02 y SALE-03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Inventario</w:t>
            </w:r>
          </w:p>
        </w:tc>
        <w:tc>
          <w:tcPr>
            <w:tcW w:type="dxa" w:w="4535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Ajuste con motivo y conflicto de versión.</w:t>
            </w:r>
          </w:p>
        </w:tc>
        <w:tc>
          <w:tcPr>
            <w:tcW w:type="dxa" w:w="2835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STOCK-01 y UI-05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Permisos</w:t>
            </w:r>
          </w:p>
        </w:tc>
        <w:tc>
          <w:tcPr>
            <w:tcW w:type="dxa" w:w="4535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Correo confirmado y rol desde members.</w:t>
            </w:r>
          </w:p>
        </w:tc>
        <w:tc>
          <w:tcPr>
            <w:tcW w:type="dxa" w:w="2835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AUTH-01, AUTH-02 y UI-09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Reportes</w:t>
            </w:r>
          </w:p>
        </w:tc>
        <w:tc>
          <w:tcPr>
            <w:tcW w:type="dxa" w:w="4535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Periodos de Lima, anulaciones excluidas y CSV.</w:t>
            </w:r>
          </w:p>
        </w:tc>
        <w:tc>
          <w:tcPr>
            <w:tcW w:type="dxa" w:w="2835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Pruebas de dominio y UI-06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Respaldo</w:t>
            </w:r>
          </w:p>
        </w:tc>
        <w:tc>
          <w:tcPr>
            <w:tcW w:type="dxa" w:w="4535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Formatos validados y recuperación en destino nuevo.</w:t>
            </w:r>
          </w:p>
        </w:tc>
        <w:tc>
          <w:tcPr>
            <w:tcW w:type="dxa" w:w="2835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BACKUP-01, BACKUP-02 y UI-08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Watson</w:t>
            </w:r>
          </w:p>
        </w:tc>
        <w:tc>
          <w:tcPr>
            <w:tcW w:type="dxa" w:w="4535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Ocho acciones y credenciales solo en servidor.</w:t>
            </w:r>
          </w:p>
        </w:tc>
        <w:tc>
          <w:tcPr>
            <w:tcW w:type="dxa" w:w="2835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IBM-01 a IBM-03 y ocho consultas reales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Interfaz móvil</w:t>
            </w:r>
          </w:p>
        </w:tc>
        <w:tc>
          <w:tcPr>
            <w:tcW w:type="dxa" w:w="4535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Menú usable y ausencia de desbordamiento.</w:t>
            </w:r>
          </w:p>
        </w:tc>
        <w:tc>
          <w:tcPr>
            <w:tcW w:type="dxa" w:w="2835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UI-10</w:t>
            </w:r>
          </w:p>
        </w:tc>
      </w:tr>
    </w:tbl>
    <w:p/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Control del alcance</w:t>
      </w:r>
    </w:p>
    <w:p>
      <w:r>
        <w:rPr>
          <w:rFonts w:ascii="Arial" w:hAnsi="Arial" w:eastAsia="Arial"/>
          <w:color w:val="000000"/>
          <w:sz w:val="22"/>
        </w:rPr>
        <w:t>Los criterios técnicos están aprobados. La asignación de roles del equipo procede del Entregable 1; no acredita contribuciones individuales ni reuniones Scrum. Las actas de aceptación y horas reales se completan únicamente con información del equipo. Compras, SUNAT, contabilidad y operación multiempresa no forman parte del alcance.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417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000000"/>
        <w:sz w:val="22"/>
      </w:rPr>
      <w:t xml:space="preserve">EFSR14908 | Página </w:t>
    </w:r>
    <w:r>
      <w:rPr>
        <w:rFonts w:ascii="Arial" w:hAnsi="Arial" w:eastAsia="Arial"/>
        <w:color w:val="000000"/>
        <w:sz w:val="22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000000"/>
        <w:sz w:val="22"/>
      </w:rPr>
      <w:t>BODEGA NORTE | EFSR14908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after="120" w:line="240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 Backlog Priorizado</dc:title>
  <dc:subject/>
  <dc:creator>Grupo 10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