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Plan de integración continua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Mantenga cambios en Git y revise el diff antes de publicar. Las credenciales quedan en User Secrets o variables privadas.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El workflow ci.yml ejecuta las pruebas de dominio, construye GitHub Pages y Visual Studio, compila .NET y la prueba Java.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deploy-pages.yml publica React desde master en GitHub Pages. Render despliega automáticamente el backend desde el mismo repositorio.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La validación con PostgreSQL e IBM real se ejecuta aparte con secretos privados; no se introducen credenciales de producción en las pruebas públicas de CI.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5. Después del despliegue compruebe readiness, rechazo anónimo, CORS y los flujos autorizados que correspondan.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6. Para recuperar una versión use un commit revisado y despliegue la versión elegida; conserve copias de datos privadas y recupere en un esquema nuevo.</w:t>
      </w:r>
    </w:p>
    <w:p>
      <w:r>
        <w:rPr>
          <w:rFonts w:ascii="Arial" w:hAnsi="Arial" w:eastAsia="Arial"/>
          <w:color w:val="000000"/>
          <w:sz w:val="22"/>
        </w:rPr>
        <w:t>La versión b31a431 se publicó con ambos workflows aprobados. Los registros de despliegue se adjuntan en Evidencias. La automatización compila Java en CI; su ejecución real HTTP se registró mediante BodegaNorte.Tools en el entorno aislado.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Plan Integracion Continua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