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22"/>
        </w:rPr>
        <w:t>Anexo de evidencias de validación técnica</w:t>
      </w:r>
    </w:p>
    <w:p>
      <w:pPr>
        <w:jc w:val="center"/>
      </w:pPr>
      <w:r>
        <w:rPr>
          <w:rFonts w:ascii="Arial" w:hAnsi="Arial"/>
          <w:color w:val="000000"/>
          <w:sz w:val="22"/>
        </w:rPr>
        <w:t>Sistema de inventario y ventas Bodega Norte</w:t>
      </w:r>
    </w:p>
    <w:p>
      <w:r>
        <w:rPr>
          <w:rFonts w:ascii="Arial" w:hAnsi="Arial"/>
          <w:color w:val="000000"/>
          <w:sz w:val="22"/>
        </w:rPr>
        <w:t>Grupo 10 | Experiencias Formativas en Situaciones Reales de Trabajo III (EFSR14908)</w:t>
      </w:r>
    </w:p>
    <w:p>
      <w:r>
        <w:rPr>
          <w:rFonts w:ascii="Arial" w:hAnsi="Arial"/>
          <w:color w:val="000000"/>
          <w:sz w:val="22"/>
        </w:rPr>
        <w:t>Docente: Judith Jenny Jimenez Monago</w:t>
      </w:r>
    </w:p>
    <w:p>
      <w:r>
        <w:rPr>
          <w:rFonts w:ascii="Arial" w:hAnsi="Arial"/>
          <w:color w:val="000000"/>
          <w:sz w:val="22"/>
        </w:rPr>
        <w:t>Fecha de preparación del anexo: 11 de octubre de 2026</w:t>
      </w:r>
    </w:p>
    <w:p>
      <w:pPr>
        <w:pStyle w:val="Heading1"/>
        <w:keepNext/>
        <w:keepLines/>
      </w:pPr>
      <w:r>
        <w:rPr>
          <w:rFonts w:ascii="Arial" w:hAnsi="Arial"/>
          <w:color w:val="000000"/>
          <w:sz w:val="22"/>
        </w:rPr>
        <w:t>Propósito y alcance</w:t>
      </w:r>
    </w:p>
    <w:p>
      <w:r>
        <w:rPr>
          <w:rFonts w:ascii="Arial" w:hAnsi="Arial"/>
          <w:color w:val="000000"/>
          <w:sz w:val="22"/>
        </w:rPr>
        <w:t>Este anexo acompaña el informe de avance del proyecto y reúne los registros técnicos del 28 de septiembre y del 4 de octubre de 2026, incluida la migración del 29 de septiembre. Los registros documentan compilaciones, pruebas locales, una prueba HTTP histórica y comprobaciones del despliegue. La prueba autenticada de venta y stock en PostgreSQL permanece pendiente.</w:t>
      </w:r>
    </w:p>
    <w:p>
      <w:r>
        <w:rPr>
          <w:rFonts w:ascii="Arial" w:hAnsi="Arial"/>
          <w:color w:val="000000"/>
          <w:sz w:val="22"/>
        </w:rPr>
        <w:t>Ejecutor técnico consignado en el registro del 4 de octubre: Codex. La aceptación del producto por los integrantes del Grupo 10 se registra por separado.</w:t>
      </w:r>
    </w:p>
    <w:p>
      <w:pPr>
        <w:pStyle w:val="Heading1"/>
        <w:keepNext/>
        <w:keepLines/>
      </w:pPr>
      <w:r>
        <w:rPr>
          <w:rFonts w:ascii="Arial" w:hAnsi="Arial"/>
          <w:color w:val="000000"/>
          <w:sz w:val="22"/>
        </w:rPr>
        <w:t>Resumen de las verificaciones registradas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Fecha</w:t>
            </w:r>
          </w:p>
        </w:tc>
        <w:tc>
          <w:tcPr>
            <w:tcW w:type="dxa" w:w="3024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Verificación</w:t>
            </w:r>
          </w:p>
        </w:tc>
        <w:tc>
          <w:tcPr>
            <w:tcW w:type="dxa" w:w="3024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Resultado registrado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28 sep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Compilaciones frontend backend y Java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Correctas; backend sin errores ni advertencias.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28 sep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Venta y control de stock en SQL Server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Dos casos correctos en una base temporal eliminada al terminar.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29 sep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Carga de demostración en Supabase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7 categorías, 5 proveedores, 12 productos, 6 ventas y 15 detalles.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4 oct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Pruebas locales de lógica y demo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18 de 18 aprobadas.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4 oct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Render GitHub Pages y conexión SQL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Servicio disponible; conexión TLS y respuestas HTTP verificadas.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4 oct 2026</w:t>
            </w:r>
          </w:p>
        </w:tc>
        <w:tc>
          <w:tcPr>
            <w:tcW w:type="dxa" w:w="328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Interfaz de escritorio y móvil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Nueve páginas cargaron; sin desbordamiento horizontal en la revisión móvil.</w:t>
            </w:r>
          </w:p>
        </w:tc>
      </w:tr>
    </w:tbl>
    <w:p/>
    <w:p>
      <w:r>
        <w:rPr>
          <w:rFonts w:ascii="Arial" w:hAnsi="Arial"/>
          <w:color w:val="000000"/>
          <w:sz w:val="22"/>
        </w:rPr>
        <w:t>Las fechas corresponden a cada verificación histórica. Los datos utilizados son de demostración; el anexo no registra resultados comerciales, asistencia ni horas de trabajo.</w:t>
      </w:r>
    </w:p>
    <w:p>
      <w:r>
        <w:rPr>
          <w:rFonts w:ascii="Arial" w:hAnsi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/>
          <w:color w:val="000000"/>
          <w:sz w:val="22"/>
        </w:rPr>
        <w:t>Registro del 28 de septiembre de 2026</w:t>
      </w:r>
    </w:p>
    <w:p>
      <w:r>
        <w:rPr>
          <w:rFonts w:ascii="Arial" w:hAnsi="Arial"/>
          <w:color w:val="000000"/>
          <w:sz w:val="22"/>
        </w:rPr>
        <w:t>Ambiente registrado: Windows, Node.js, .NET SDK 10 compilando un proyecto .NET 8 y Java 22. El alcance comprende las compilaciones anteriores y la compilación del backend MVC con Npgsql.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Compilaciones registradas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Comando o etapa</w:t>
            </w:r>
          </w:p>
        </w:tc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408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npm run build</w:t>
            </w:r>
          </w:p>
        </w:tc>
        <w:tc>
          <w:tcPr>
            <w:tcW w:type="dxa" w:w="498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Vite 8.3.0 transformó 16 módulos y generó dist.</w:t>
            </w:r>
          </w:p>
        </w:tc>
      </w:tr>
      <w:tr>
        <w:trPr>
          <w:cantSplit/>
        </w:trPr>
        <w:tc>
          <w:tcPr>
            <w:tcW w:type="dxa" w:w="408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dotnet build backend\BodegaNorte.sln antes de la migración</w:t>
            </w:r>
          </w:p>
        </w:tc>
        <w:tc>
          <w:tcPr>
            <w:tcW w:type="dxa" w:w="498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Cero advertencias y cero errores.</w:t>
            </w:r>
          </w:p>
        </w:tc>
      </w:tr>
      <w:tr>
        <w:trPr>
          <w:cantSplit/>
        </w:trPr>
        <w:tc>
          <w:tcPr>
            <w:tcW w:type="dxa" w:w="408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javac integration\JavaInventoryIntegrationTest.java</w:t>
            </w:r>
          </w:p>
        </w:tc>
        <w:tc>
          <w:tcPr>
            <w:tcW w:type="dxa" w:w="498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Compilación correcta.</w:t>
            </w:r>
          </w:p>
        </w:tc>
      </w:tr>
      <w:tr>
        <w:trPr>
          <w:cantSplit/>
        </w:trPr>
        <w:tc>
          <w:tcPr>
            <w:tcW w:type="dxa" w:w="408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npm run build:visualstudio con modo Supabase</w:t>
            </w:r>
          </w:p>
        </w:tc>
        <w:tc>
          <w:tcPr>
            <w:tcW w:type="dxa" w:w="498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Vite 8.3.0 compiló 16 módulos.</w:t>
            </w:r>
          </w:p>
        </w:tc>
      </w:tr>
      <w:tr>
        <w:trPr>
          <w:cantSplit/>
        </w:trPr>
        <w:tc>
          <w:tcPr>
            <w:tcW w:type="dxa" w:w="408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dotnet build backend\BodegaNorte.sln con Npgsql 10.0.3</w:t>
            </w:r>
          </w:p>
        </w:tc>
        <w:tc>
          <w:tcPr>
            <w:tcW w:type="dxa" w:w="498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Cero advertencias y cero errores después de sustituir SQL Server.</w:t>
            </w:r>
          </w:p>
        </w:tc>
      </w:tr>
    </w:tbl>
    <w:p/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Prueba HTTP histórica en SQL Server</w:t>
      </w:r>
    </w:p>
    <w:p>
      <w:r>
        <w:rPr>
          <w:rFonts w:ascii="Arial" w:hAnsi="Arial"/>
          <w:color w:val="000000"/>
          <w:sz w:val="22"/>
        </w:rPr>
        <w:t>Se utilizó la base temporal BodegaNorte_EFSRT_Verificacion_20260928_01. Se aplicaron database/schema.sql y database/seed.sql y se inició la API con una conexión temporal. La base se eliminó al concluir la prueba.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Venta de una unidad de P-001: el stock pasó de 3.00 a 2.00.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Venta superior al stock: la API devolvió HTTP 400 y conservó el stock.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Salida consignada en el registro</w:t>
      </w:r>
    </w:p>
    <w:p>
      <w:r>
        <w:rPr>
          <w:rFonts w:ascii="Arial" w:hAnsi="Arial"/>
          <w:color w:val="000000"/>
          <w:sz w:val="22"/>
        </w:rPr>
        <w:t>IT-API-01 OK: venta registrada y stock actualizado 3.00 -&gt; 2.00</w:t>
      </w:r>
    </w:p>
    <w:p>
      <w:r>
        <w:rPr>
          <w:rFonts w:ascii="Arial" w:hAnsi="Arial"/>
          <w:color w:val="000000"/>
          <w:sz w:val="22"/>
        </w:rPr>
        <w:t>IT-API-02 OK: venta superior al stock rechazada y stock conservado</w:t>
      </w:r>
    </w:p>
    <w:p>
      <w:r>
        <w:rPr>
          <w:rFonts w:ascii="Arial" w:hAnsi="Arial"/>
          <w:color w:val="000000"/>
          <w:sz w:val="22"/>
        </w:rPr>
        <w:t>Estas dos salidas corresponden a la versión SQL Server. La migración a PostgreSQL requiere ejecutar y documentar nuevamente los casos de venta y stock.</w:t>
      </w:r>
    </w:p>
    <w:p>
      <w:r>
        <w:rPr>
          <w:rFonts w:ascii="Arial" w:hAnsi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/>
          <w:color w:val="000000"/>
          <w:sz w:val="22"/>
        </w:rPr>
        <w:t>Migración y validación local de octubre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Migración registrada el 29 de septiembre de 2026</w:t>
      </w:r>
    </w:p>
    <w:p>
      <w:r>
        <w:rPr>
          <w:rFonts w:ascii="Arial" w:hAnsi="Arial"/>
          <w:color w:val="000000"/>
          <w:sz w:val="22"/>
        </w:rPr>
        <w:t>Se creó el proyecto Supabase pladdberkeewsvomkset en la región sa-east-1 y se aplicó el esquema privado bodega_norte. La consulta remota confirmó 7 categorías, 5 proveedores, 12 productos, 6 ventas y 15 detalles. El backend MVC utiliza Npgsql y la configuración privada mediante User Secrets.</w:t>
      </w:r>
    </w:p>
    <w:p>
      <w:r>
        <w:rPr>
          <w:rFonts w:ascii="Arial" w:hAnsi="Arial"/>
          <w:color w:val="000000"/>
          <w:sz w:val="22"/>
        </w:rPr>
        <w:t>En esa fecha la conexión local y la prueba HTTP de PostgreSQL estaban pendientes de configurar la contraseña. El registro del 4 de octubre documenta posteriormente la configuración de la conexión y la disponibilidad de la base.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Compilaciones y pruebas del 4 de octubre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Verificación</w:t>
            </w:r>
          </w:p>
        </w:tc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Resultado consignado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pnpm test</w:t>
            </w:r>
          </w:p>
        </w:tc>
        <w:tc>
          <w:tcPr>
            <w:tcW w:type="dxa" w:w="612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18 de 18 pruebas aprobadas: stock, reintentos, cancelación, históricos, versiones, permisos demo y exportación segura.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build:github y build:visualstudio</w:t>
            </w:r>
          </w:p>
        </w:tc>
        <w:tc>
          <w:tcPr>
            <w:tcW w:type="dxa" w:w="612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Vite 8.3.1 completó sin advertencia de tamaño; aplicación y dependencias separadas para caché.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dotnet build</w:t>
            </w:r>
          </w:p>
        </w:tc>
        <w:tc>
          <w:tcPr>
            <w:tcW w:type="dxa" w:w="612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Proyecto .NET 8; cero errores y cero advertencias.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javac -encoding UTF-8</w:t>
            </w:r>
          </w:p>
        </w:tc>
        <w:tc>
          <w:tcPr>
            <w:tcW w:type="dxa" w:w="6123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Compilación correcta. El programa usa bearer token; su ejecución contra PostgreSQL quedó pendiente.</w:t>
            </w:r>
          </w:p>
        </w:tc>
      </w:tr>
    </w:tbl>
    <w:p/>
    <w:p>
      <w:r>
        <w:rPr>
          <w:rFonts w:ascii="Arial" w:hAnsi="Arial"/>
          <w:color w:val="000000"/>
          <w:sz w:val="22"/>
        </w:rPr>
        <w:t>Supabase figuraba ACTIVE_HEALTHY durante la verificación. Se aplicó la migración bodega_operations_v2: 9 tablas y conservación de 12 productos y 6 ventas. El esquema privado no concede permisos de Data API a clientes. El MCP adicional quedó habilitado y autenticado mediante OAuth; la conexión SQL se configura por separado.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Comprobaciones en el navegador con datos demo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Rechazo del exceso de stock, limpieza del carrito y venta con Yape y constancia.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Anulación con devolución de stock; movimientos y consulta de proveedores.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Configuración persistente, restricciones del cajero y reportes sin resultados.</w:t>
      </w:r>
    </w:p>
    <w:p>
      <w:r>
        <w:rPr>
          <w:rFonts w:ascii="Arial" w:hAnsi="Arial"/>
          <w:color w:val="000000"/>
          <w:sz w:val="22"/>
        </w:rPr>
        <w:t>Se corrigieron el cambio de fecha de los controles nativos y el desbordamiento del buscador móvil detectados durante la revisión. Estas comprobaciones se realizaron en la demostración local.</w:t>
      </w:r>
    </w:p>
    <w:p>
      <w:r>
        <w:rPr>
          <w:rFonts w:ascii="Arial" w:hAnsi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/>
          <w:color w:val="000000"/>
          <w:sz w:val="22"/>
        </w:rPr>
        <w:t>Despliegue registrado el 4 de octubre de 2026</w:t>
      </w:r>
    </w:p>
    <w:p>
      <w:r>
        <w:rPr>
          <w:rFonts w:ascii="Arial" w:hAnsi="Arial"/>
          <w:color w:val="000000"/>
          <w:sz w:val="22"/>
        </w:rPr>
        <w:t>Render publicó bodega-norte-grupo10 con el plan gratuito del espacio Juan Diego's workspace. La cadena SQL se guardó fuera del repositorio; se incluyó el certificado raíz público oficial de Supabase y la conexión utiliza VerifyFull.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Respuestas HTTP consignadas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Solicitud</w:t>
            </w:r>
          </w:p>
        </w:tc>
        <w:tc>
          <w:tcPr>
            <w:tcW w:type="dxa" w:w="4536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rPr>
          <w:cantSplit/>
        </w:trPr>
        <w:tc>
          <w:tcPr>
            <w:tcW w:type="dxa" w:w="464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GET /api/health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HTTP 200.</w:t>
            </w:r>
          </w:p>
        </w:tc>
      </w:tr>
      <w:tr>
        <w:trPr>
          <w:cantSplit/>
        </w:trPr>
        <w:tc>
          <w:tcPr>
            <w:tcW w:type="dxa" w:w="464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GET /api/health/ready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HTTP 200; disponibilidad de la base.</w:t>
            </w:r>
          </w:p>
        </w:tc>
      </w:tr>
      <w:tr>
        <w:trPr>
          <w:cantSplit/>
        </w:trPr>
        <w:tc>
          <w:tcPr>
            <w:tcW w:type="dxa" w:w="464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GET /api/products y GET /api/members sin sesión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HTTP 401; acceso anónimo rechazado.</w:t>
            </w:r>
          </w:p>
        </w:tc>
      </w:tr>
      <w:tr>
        <w:trPr>
          <w:cantSplit/>
        </w:trPr>
        <w:tc>
          <w:tcPr>
            <w:tcW w:type="dxa" w:w="4649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Preflight CORS desde GitHub Pages</w:t>
            </w:r>
          </w:p>
        </w:tc>
        <w:tc>
          <w:tcPr>
            <w:tcW w:type="dxa" w:w="4422"/>
            <w:shd w:fill="FFFFFF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color w:val="000000"/>
                <w:sz w:val="22"/>
              </w:rPr>
              <w:t>HTTP 204; origen https://jaguar009.github.io permitido.</w:t>
            </w:r>
          </w:p>
        </w:tc>
      </w:tr>
    </w:tbl>
    <w:p/>
    <w:p>
      <w:r>
        <w:rPr>
          <w:rFonts w:ascii="Arial" w:hAnsi="Arial"/>
          <w:color w:val="000000"/>
          <w:sz w:val="22"/>
        </w:rPr>
        <w:t>Al consultar Render no se registraron errores de aplicación. GitHub Pages publicó el frontend con VITE_API_MODE=supabase y la API de Render. Los workflows de despliegue y validación finalizaron correctamente en el commit 7cce8a0. Supabase Auth quedó configurado para registro con confirmación por correo y destinos de Pages y Render.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Interfaz y documentos revisados</w:t>
      </w:r>
    </w:p>
    <w:p>
      <w:r>
        <w:rPr>
          <w:rFonts w:ascii="Arial" w:hAnsi="Arial"/>
          <w:color w:val="000000"/>
          <w:sz w:val="22"/>
        </w:rPr>
        <w:t>Cargaron las nueve páginas de la aplicación y una sesión limpia no presentó errores ni advertencias de consola. En la revisión móvil a 390 px, el documento y el viewport tenían 375 px útiles y no hubo desbordamiento horizontal. Se revisaron 55 páginas renderizadas de diez documentos Word, sin texto fuera de la página.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Estado de la cuenta y validaciones pendientes</w:t>
      </w:r>
    </w:p>
    <w:p>
      <w:r>
        <w:rPr>
          <w:rFonts w:ascii="Arial" w:hAnsi="Arial"/>
          <w:color w:val="000000"/>
          <w:sz w:val="22"/>
        </w:rPr>
        <w:t>El registro inicial del 4 de octubre consignó cero usuarios Auth y dejó pendiente confirmar la cuenta inicial. El informe de avance registra posteriormente el ingreso del administrador activo. Esta actualización corresponde al acceso a la interfaz.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Ejecutar y documentar la venta autenticada y el descuento de stock en PostgreSQL.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Ejecutar la prueba Java en una base desechable con un token autorizado.</w:t>
      </w:r>
    </w:p>
    <w:p>
      <w:pPr>
        <w:pStyle w:val="ListBullet"/>
      </w:pPr>
      <w:r>
        <w:rPr>
          <w:rFonts w:ascii="Arial" w:hAnsi="Arial"/>
          <w:color w:val="000000"/>
          <w:sz w:val="22"/>
        </w:rPr>
        <w:t>Registrar la aceptación del producto por el Grupo 10 y el usuario de negocio.</w:t>
      </w:r>
    </w:p>
    <w:p>
      <w:pPr>
        <w:pStyle w:val="Heading2"/>
        <w:keepNext/>
        <w:keepLines/>
      </w:pPr>
      <w:r>
        <w:rPr>
          <w:rFonts w:ascii="Arial" w:hAnsi="Arial"/>
          <w:color w:val="000000"/>
          <w:sz w:val="22"/>
        </w:rPr>
        <w:t>Registros de origen</w:t>
      </w:r>
    </w:p>
    <w:p>
      <w:r>
        <w:rPr>
          <w:rFonts w:ascii="Arial" w:hAnsi="Arial"/>
          <w:color w:val="000000"/>
          <w:sz w:val="22"/>
        </w:rPr>
        <w:t>Registro de validación técnica y migración a Supabase del 28 de septiembre de 2026, con la anotación de migración del 29 de septiembre; y registro de validación técnica del 4 de octubre de 2026. Ambos se conservan en la carpeta de evidencias del proyecto.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22"/>
      </w:rPr>
      <w:t xml:space="preserve">EFSR14908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evidencias de validación técnica Bodega Norte</dc:title>
  <dc:subject>Evidencia adjunta al informe de avance del Grupo 10</dc:subject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