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>
        <w:pStyle w:val="Title"/>
        <w:jc w:val="center"/>
      </w:pPr>
      <w:r>
        <w:rPr>
          <w:rFonts w:ascii="Arial" w:hAnsi="Arial" w:eastAsia="Arial"/>
          <w:b/>
          <w:color w:val="000000"/>
          <w:sz w:val="22"/>
        </w:rPr>
        <w:t>BODEGA NORTE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Informe de avance del proyecto</w:t>
      </w:r>
    </w:p>
    <w:p>
      <w:pPr>
        <w:jc w:val="center"/>
      </w:pPr>
      <w:r>
        <w:rPr>
          <w:rFonts w:ascii="Arial" w:hAnsi="Arial" w:eastAsia="Arial"/>
          <w:b/>
          <w:color w:val="000000"/>
          <w:sz w:val="22"/>
        </w:rPr>
        <w:t>Experiencias Formativas en Situaciones Reales de Trabajo III (EFSR14908)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Judith Jenny Jimenez Monago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Ciclo cuarto | Periodo 2026 | Semestre no consignado en los documentos recibidos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Grupo 10</w:t>
      </w:r>
    </w:p>
    <w:p/>
    <w:p>
      <w:pPr>
        <w:jc w:val="left"/>
      </w:pPr>
      <w:r>
        <w:rPr>
          <w:rFonts w:ascii="Arial" w:hAnsi="Arial" w:eastAsia="Arial"/>
          <w:color w:val="000000"/>
          <w:sz w:val="22"/>
        </w:rPr>
        <w:t>Coordinador: Gonzalo Yoel Choque Becerra</w:t>
      </w:r>
    </w:p>
    <w:p>
      <w:r>
        <w:rPr>
          <w:rFonts w:ascii="Arial" w:hAnsi="Arial" w:eastAsia="Arial"/>
          <w:color w:val="000000"/>
          <w:sz w:val="22"/>
        </w:rPr>
        <w:t>Integrantes: Adrian Alexander Berrocal Villanueva; Lalo Alessandro Eugenio Montalvo; Juan Diego Romero Peralta</w:t>
      </w:r>
    </w:p>
    <w:p>
      <w:r>
        <w:rPr>
          <w:rFonts w:ascii="Arial" w:hAnsi="Arial" w:eastAsia="Arial"/>
          <w:color w:val="000000"/>
          <w:sz w:val="22"/>
        </w:rPr>
        <w:t>Fecha de elaboración: 4 de octubre de 2026</w:t>
      </w:r>
    </w:p>
    <w:p>
      <w:r>
        <w:rPr>
          <w:rFonts w:ascii="Arial" w:hAnsi="Arial" w:eastAsia="Arial"/>
          <w:color w:val="000000"/>
          <w:sz w:val="22"/>
        </w:rPr>
        <w:br w:type="page"/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1. Estado verificable del prototipo</w:t>
      </w:r>
    </w:p>
    <w:p>
      <w:r>
        <w:rPr>
          <w:rFonts w:ascii="Arial" w:hAnsi="Arial" w:eastAsia="Arial"/>
          <w:color w:val="000000"/>
          <w:sz w:val="22"/>
        </w:rPr>
        <w:t>Este documento describe el estado del código disponible al preparar el paquete, con fecha 4 de octubre de 2026. No certifica que el equipo haya presentado exactamente este avance en la semana 10 ni calcula un porcentaje de ejecución según la rúbrica.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Área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Estado del código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Límite de la evidencia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Interfaz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Hay vistas para inicio, venta, productos, inventario, reportes y configuración.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 aceptación manual del Grupo 10.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Ventas API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El código valida stock y descuenta unidades dentro de una transacción PostgreSQL.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Conexión y disponibilidad remota verificadas; falta la prueba autenticada de venta.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Base de datos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Esquema SQL con categorías, proveedores, productos, ventas y líneas.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Datos de ejemplo; sin uso de una bodega real.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Reportes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 interfaz calcula reportes por período y exporta inventario, ventas y movimientos a CSV.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Descarga pendiente de prueba visual por el equipo.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Asistente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 demo local ofrece respuestas de muestra; contrato Watson documentado.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Servicio Watson no conectado.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2. Historias priorizadas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Historia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Criterio de aceptación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Estado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Consultar productos y existencias.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 vista y `GET /api/products` exponen código, categoría, stock, mínimo y precio.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Implementado; revisión de interfaz pendiente.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Registrar una venta.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El código API valida los datos, registra líneas y descuenta stock.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Prueba anterior en SQL Server; pendiente validar la migración Supabase.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Rechazar exceso de venta.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El código API devuelve HTTP 400 y no altera el stock.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Prueba anterior en SQL Server; pendiente validar la migración Supabase.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Identificar stock bajo.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Se considera bajo cuando stock es menor o igual al mínimo.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Implementado en interfaz; revisión manual pendiente.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Exportar inventario.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El CSV contiene código, nombre, categoría, stock, mínimo, precio y proveedor.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Incluido en código; aceptación manual pendiente.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Consultar ayuda.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El asistente local ofrece respuesta de muestra.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Demo local; Watson pendiente.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3. Arquitectura</w:t>
      </w:r>
    </w:p>
    <w:p>
      <w:r>
        <w:rPr>
          <w:rFonts w:ascii="Arial" w:hAnsi="Arial" w:eastAsia="Arial"/>
          <w:color w:val="000000"/>
          <w:sz w:val="22"/>
        </w:rPr>
        <w:t>La aplicación React funciona como vista. Los controladores ASP.NET reciben operaciones; BodegaService valida los casos de uso y BodegaRepository ejecuta consultas y transacciones PostgreSQL con Npgsql. El modo demo utiliza localStorage y no necesita el backend. Ambos modos se documentan por separado.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drawing>
          <wp:inline xmlns:a="http://schemas.openxmlformats.org/drawingml/2006/main" xmlns:pic="http://schemas.openxmlformats.org/drawingml/2006/picture">
            <wp:extent cx="5577840" cy="2510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8w8niu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510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i/>
          <w:color w:val="000000"/>
          <w:sz w:val="22"/>
        </w:rPr>
        <w:t>Figura 1. Flujo de componentes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4. Responsabilidades del equipo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Rol declarado en el Entregable 1</w:t>
            </w:r>
          </w:p>
        </w:tc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Integrante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Líder del proyecto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Gonzalo Yoel Choque Becerra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Desarrollador frontend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Adrian Alexander Berrocal Villanueva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Responsable de base de datos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Lalo Alessandro Eugenio Montalvo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Desarrollador backend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Juan Diego Romero Peralta</w:t>
            </w:r>
          </w:p>
        </w:tc>
      </w:tr>
    </w:tbl>
    <w:p/>
    <w:p>
      <w:r>
        <w:rPr>
          <w:rFonts w:ascii="Arial" w:hAnsi="Arial" w:eastAsia="Arial"/>
          <w:color w:val="000000"/>
          <w:sz w:val="22"/>
        </w:rPr>
        <w:t>Los roles provienen del Entregable 1 entregado por el estudiante. Este informe no añade un historial de tareas individuales, actas de reunión ni firmas.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5. Validaciones ejecutadas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Validación</w:t>
            </w:r>
          </w:p>
        </w:tc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Resultado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Frontend: npm run build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Correcto el 28-09-2026; 16 módulos transformados.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Backend: dotnet build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Correcto el 28-09-2026; cero advertencias y cero errores.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Venta y descuento de stock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Prueba histórica SQL Server; no valida PostgreSQL.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Venta por encima del stock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Prueba histórica SQL Server; no valida PostgreSQL.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Interfaz, responsive, CSV y aceptación de usuario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Pendiente de revisión del Grupo 10.</w:t>
            </w:r>
          </w:p>
        </w:tc>
      </w:tr>
    </w:tbl>
    <w:p/>
    <w:p>
      <w:r>
        <w:rPr>
          <w:rFonts w:ascii="Arial" w:hAnsi="Arial" w:eastAsia="Arial"/>
          <w:color w:val="000000"/>
          <w:sz w:val="22"/>
        </w:rPr>
        <w:t>El registro detallado se encuentra en `docs/evidencias/validacion_tecnica_2026-09-28.md`. La prueba HTTP documentada corresponde a la versión histórica SQL Server. El backend Npgsql actual ya compila, pero su conexión Supabase aún requiere la cadena de conexión del proyecto nuevo.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6. Plan de integración continua</w:t>
      </w:r>
    </w:p>
    <w:p>
      <w:r>
        <w:rPr>
          <w:rFonts w:ascii="Arial" w:hAnsi="Arial" w:eastAsia="Arial"/>
          <w:color w:val="000000"/>
          <w:sz w:val="22"/>
        </w:rPr>
        <w:t>El workflow `.github/workflows/ci.yml` compila los dos modos del frontend, compila la solución .NET y verifica que el programa Java compile. El workflow de GitHub Pages publica el frontend conectado a la API de Render. La prueba HTTP de venta con PostgreSQL queda pendiente de ejecutar contra el proyecto Supabase de desarrollo.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7. Acciones antes de una entrega académica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Revisar los flujos de interfaz y guardar evidencia con ejecutor y fecha reales.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Confirmar el calendario final del curso; el sílabo 2026 y el Anexo 4 Nivel 2 indican semanas distintas.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Validar los roles y los criterios de aceptación con el equipo.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Mantener sin datos personales reales la base de demostración y completar seguridad antes de producción.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Actualización operativa al 04-10-2026</w:t>
      </w:r>
    </w:p>
    <w:p>
      <w:r>
        <w:rPr>
          <w:rFonts w:ascii="Arial" w:hAnsi="Arial" w:eastAsia="Arial"/>
          <w:color w:val="000000"/>
          <w:sz w:val="22"/>
        </w:rPr>
        <w:t>Se implementaron Supabase Auth y permisos administrador/cajero, ajustes con motivo y control de versión, venta con identificador de reintento, anulaciones con devolución única de stock, historial y constancia interna, proveedores y configuración persistentes, auditoría y respaldo JSON. Los reportes usan fecha de Lima y detalles de venta; no se inventan costos históricos.</w:t>
      </w:r>
    </w:p>
    <w:p>
      <w:r>
        <w:rPr>
          <w:rFonts w:ascii="Arial" w:hAnsi="Arial" w:eastAsia="Arial"/>
          <w:color w:val="000000"/>
          <w:sz w:val="22"/>
        </w:rPr>
        <w:t>Validación técnica: 18 pruebas locales aprobadas y compilaciones correctas. Render está publicado y conectado a Supabase con TLS y certificado validado; /api/health/ready responde HTTP 200 y las rutas privadas rechazan acceso anónimo. GitHub Pages usa la API remota. Falta confirmar la cuenta inicial, probar operaciones autenticadas y registrar aceptación del Grupo 10. Evidencia: docs/evidencias/validacion_tecnica_2026-10-04.md.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8. Evidencias visuales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drawing>
          <wp:inline xmlns:a="http://schemas.openxmlformats.org/drawingml/2006/main" xmlns:pic="http://schemas.openxmlformats.org/drawingml/2006/picture">
            <wp:extent cx="5577840" cy="3873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keyacp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87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i/>
          <w:color w:val="000000"/>
          <w:sz w:val="22"/>
        </w:rPr>
        <w:t>Evidencia visual de referencia en escritorio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drawing>
          <wp:inline xmlns:a="http://schemas.openxmlformats.org/drawingml/2006/main" xmlns:pic="http://schemas.openxmlformats.org/drawingml/2006/picture">
            <wp:extent cx="2926080" cy="63323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75xret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i/>
          <w:color w:val="000000"/>
          <w:sz w:val="22"/>
        </w:rPr>
        <w:t>Evidencia visual de referencia en móvil</w:t>
      </w:r>
    </w:p>
    <w:sectPr w:rsidR="00FC693F" w:rsidRPr="0006063C" w:rsidSect="00034616">
      <w:headerReference w:type="default" r:id="rId12"/>
      <w:footerReference w:type="default" r:id="rId13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000000"/>
        <w:sz w:val="22"/>
      </w:rPr>
      <w:t xml:space="preserve">EFSR14908 | Página </w:t>
    </w:r>
    <w:r>
      <w:rPr>
        <w:rFonts w:ascii="Arial" w:hAnsi="Arial" w:eastAsia="Arial"/>
        <w:color w:val="000000"/>
        <w:sz w:val="22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000000"/>
        <w:sz w:val="22"/>
      </w:rPr>
      <w:t>BODEGA NORTE |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after="120" w:line="240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160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