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Manual técnico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Arquitectura actual</w:t>
      </w:r>
    </w:p>
    <w:p>
      <w:r>
        <w:rPr>
          <w:rFonts w:ascii="Arial" w:hAnsi="Arial" w:eastAsia="Arial"/>
          <w:color w:val="000000"/>
          <w:sz w:val="22"/>
        </w:rPr>
        <w:t>El sistema se entrega con una arquitectura MVC estricta de tres capas. La View React se aloja en Views/Home/Index.cshtml; los Controllers reciben las solicitudes; el Model reúne contratos, reglas de negocio y persistencia en Supabase PostgreSQL mediante Npgsql. El modo demo usa localStorage únicamente como alternativa sin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Capa MVC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Implementación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Responsabilidad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View / Vista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React + Vite + Views/Home/Index.cshtml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Presentar módulos, formularios, navegación responsive y estados visuales.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 / Controlador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Controllers/ + BodegaService.cs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Recibir solicitudes, validar casos de uso y devolver vistas o JSON.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Model / Modelo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Models/Contracts.cs + Data/BodegaRepository.cs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Representar entidades, ejecutar consultas y persistir transacciones en Supabase PostgreSQL.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 alternativa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localStorage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Permitir una demostración sin servidor, sin formar parte del modo MVC.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Integración posterior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 Assistant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Consultas conversacionales mediante un controlador seguro.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Ruta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src/main.jsx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View React: composición visual, interacción y navegación.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src/styles.css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Sistema visual, layout, responsive y estados.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backend/BodegaNorte.Api/Controllers/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Controllers MVC para Home, productos, ventas y health.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backend/BodegaNorte.Api/Models/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Contratos de entrada y salida del Model.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backend/BodegaNorte.Api/Services/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Reglas de negocio de Bodega Norte.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backend/BodegaNorte.Api/Data/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Repositorio Npgsql y transacciones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backend/BodegaNorte.Api/Views/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Vista host MVC para la aplicación React.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database/schema.sql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Tablas, relaciones, índices y restricciones.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integration/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de integración Java y guía asociada.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docs/diagramas/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Arquitectura draw.io y modelo de datos SVG.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docs/word/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Informes y manuales editables para la entrega académica.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Modelo de datos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Entidad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Campos principales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Relación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categories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category_id, name, is_active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Una categoría agrupa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suppliers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supplier_id, name, contact_name, phone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 proveedor se asocia a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product_id, code, name, category_id, supplier_id, stock, min_stock, cost, sale_price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 producto pertenece a categoría y puede referenciar proveedor.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sale_id, sale_number, payment_method, total, sold_at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Una venta contiene líneas de detalle.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sale_items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sale_item_id, sale_id, product_id, quantity, unit_price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Relaciona ventas y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members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user_id, email, role, is_active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Cuenta de Supabase Auth habilitada para la bodega.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settings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id, name, ruc, address, phone, stock_alerts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Configuración única de la bodega.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stock_movements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movement_id, product_id, quantity, balance, type, reason, actor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Trazabilidad de altas, ventas, ajustes y anulaciones.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audit_log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audit_id, action, entity, actor, details, created_at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Registro de operaciones administrativas y de venta.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Reglas de negocio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Una venta no debe superar el stock disponible.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total de una venta es la suma de cantidad por precio unitario.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Stock bajo cuando stock actual es menor o igual a stock mínimo.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registro de una venta descuenta unidades y guarda el método de pago.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Los datos de entrada deben validarse antes de persistir.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Las claves de Watson deben permanecer fuera del cliente y del repositorio.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Ejecución y evolución MVC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Crear el esquema Supabase con database/schema.sql, database/upgrade_operations.sql y database/seed.sql.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Ejecutar npm run build:visualstudio para generar la View React en wwwroot.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Abrir backend/BodegaNorte.sln y ejecutar BodegaNorte.Api desde Visual 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Mantener las reglas de stock y el registro de venta en BodegaService/Repository dentro de una transacción.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Validar autenticación, roles, auditoría y concurrencia implementados en Controllers y Services.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Extender los Models y Controllers para nuevos módulos sin mezclar SQL con la View.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Integración Watson Assistant</w:t>
      </w:r>
    </w:p>
    <w:p>
      <w:r>
        <w:rPr>
          <w:rFonts w:ascii="Arial" w:hAnsi="Arial" w:eastAsia="Arial"/>
          <w:color w:val="000000"/>
          <w:sz w:val="22"/>
        </w:rPr>
        <w:t>La integración documentada separa intents, entidades, respuestas y contrato de backend. El navegador no debe llamar directamente al servicio con una API key; el backend debe autenticar, filtrar la consulta y devolver solo información permitida para el usuario.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Calidad y seguridad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Ejecutar npm run build antes de cada entrega.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Mantener pruebas del flujo de venta y actualización de stock.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Revisar accesibilidad de botones, formularios y navegación móvil.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No subir .env, tokens, credenciales ni datos reales de clientes.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Respaldar documentación y exportaciones fuera del navegador.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Evidencia visual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87k26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color w:val="000000"/>
          <w:sz w:val="22"/>
        </w:rPr>
        <w:t>Referencia visual anterior del dashboard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