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97D"/>
          <w:sz w:val="36"/>
          <w:szCs w:val="36"/>
        </w:rPr>
        <w:t xml:space="preserve">NUGGO 개인정보처리방침 검토 리포트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모바일 명함 앱 개인정보처리방침 법적 검토 및 수정 권고사항</w:t>
      </w: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📋 전체 검토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검토는 NUGGO 모바일 명함 앱의 개인정보처리방침을 「개인정보 보호법」, 「전자상거래법」, 「통신비밀보호법」 등 관련 법령을 기준으로 분석한 결과입니다. 총 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6개의 주요 문제/누락 사항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발견되었으며, 공표 전 반드시 수정이 필요합니다.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개인정보의 처리 목적 (제1조)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내용은 대체로 적절합니다. 다만 아래 사항을 보완하세요.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마케팅·광고 목적 누락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앱에서 푸시 알림, 이벤트 안내 등을 발송할 경우 '마케팅 및 광고성 정보 제공' 목적을 별도 항목으로 명시하고, 별도 동의를 받아야 합니다. (개인정보 보호법 제22조)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서비스 개선·통계 분석 목적 누락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앱 이용 통계, 서비스 품질 향상 목적으로 개인정보를 활용하는 경우 명시 필요.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수집하는 개인정보 항목 (제2조)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기기 접근 권한 항목은 잘 작성되었습니다. 그러나 아래 항목이 누락되어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자동 수집 항목 미기재 (법적 필수)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서비스 이용 과정에서 자동으로 수집되는 항목(IP 주소, 기기 고유 식별자, 앱 버전, OS 버전, 접속 시간, 서비스 이용 내역 등)을 반드시 별도로 명시해야 합니다. (개인정보 보호법 제15조, 제22조)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결제 정보 항목 미기재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유료 서비스·구독 결제 처리 시 수집되는 결제 정보(카드 정보, PG사 처리 데이터 등)를 항목에 추가해야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위치 정보 여부 불명확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앱이 위치 기반 기능을 제공하지 않더라도 위치 정보를 수집하지 않는다는 점을 명시하거나, 수집 시 위치정보법 준수 사항을 추가해야 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개인정보의 보유 및 이용기간 (제3조)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전반적으로 잘 작성되었으나, 아래 항목 보완이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광고 식별자 보관 기간 미기재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광고 식별자(ADID/IDFA)를 사용하는 경우, 해당 데이터의 보유기간을 별도 명시해야 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개인정보의 제3자 제공 (제4조)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원칙과 예외 구조는 적절합니다. 그러나 아래 사항이 누락되었습니다.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수탁업체(위탁 처리) 항목 완전 누락 — 법적 필수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클라우드 서버(AWS, GCP 등), 결제 PG사, 이메일 발송 서비스, 고객상담 솔루션 등 개인정보 처리를 위탁하는 업체가 있는 경우, 위탁업체명과 위탁 업무 내용을 반드시 공개해야 합니다. (개인정보 보호법 제26조)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국외 이전 여부 미기재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해외 서버(예: AWS 미국 리전)를 사용하는 경우, 개인정보의 국외 이전에 관한 별도 조항을 추가해야 합니다. (개인정보 보호법 제28조의8)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개인정보의 파기 절차 및 방법 (제5조)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내용은 전반적으로 적절합니다.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07C10"/>
          <w:sz w:val="22"/>
          <w:szCs w:val="22"/>
        </w:rPr>
        <w:t xml:space="preserve">✔ 적절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전자 파일 영구삭제 및 종이문서 분쇄/소각 명시는 법적 요건을 충족합니다.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이용자의 권리 (제6조)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권리를 명시하고 있으나 아래 사항이 누락되었습니다.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권리 행사 방법 및 절차 미기재 (법적 필수)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이용자가 권리를 어떻게 행사할 수 있는지(신청 방법, 처리 기간 10일 이내, 수수료 여부 등)를 구체적으로 안내해야 합니다. (개인정보 보호법 제35조~제37조)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법정 대리인의 권리 미기재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만 14세 미만 아동의 개인정보를 처리하는 경우, 법정 대리인의 권리 및 동의 절차를 명시해야 합니다. 앱 이용 연령 제한이 없다면 14세 미만 이용 불가 방침을 명시하세요.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권리 행사 시 신원 확인 절차 미기재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열람·수정·삭제 요청 시 본인 확인 절차를 명시하는 것이 권고됩니다.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개인정보 보호책임자 (제7조)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구조는 적절하나 중요한 정보가 누락되어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개인정보 보호책임자 성명(이름) 공란 — 법적 필수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「개인정보 보호법」 제31조에 따라 개인정보 보호책임자의 성명, 직책, 연락처를 반드시 공개해야 합니다. 현재 성명이 빠져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전화번호·팩스 등 추가 연락 수단 권고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이메일 외 전화번호 또는 담당 부서를 추가로 기재하는 것이 이용자 권익 보호에 유리합니다.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고지 의무 (제8조)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내용은 적절합니다.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방침 시행일(버전) 미기재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개인정보처리방침 최초 시행일 및 최종 개정일(예: 시행일: 2025년 1월 1일, 개정일: 2025년 6월 1일)을 문서 상단 또는 하단에 명시해야 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추가 권고사항 (법적 필수 항목 누락)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쿠키(Cookie) 및 유사 추적 기술 관련 조항 누락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웹뷰나 앱 내 분석 SDK(Firebase Analytics, Amplitude 등)를 사용하는 경우, 해당 기술의 사용 목적과 거부 방법을 안내하는 조항이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개인정보 안전성 확보 조치 조항 누락 (법적 필수)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관리적·기술적·물리적 보호조치(암호화, 접근 통제, 보안 시스템 운영 등)에 대한 내용을 반드시 포함해야 합니다. (개인정보 보호법 제29조, 개인정보의 안전성 확보조치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⚠ [문제/수정] </w:t>
      </w:r>
      <w:r>
        <w:rPr>
          <w:rFonts w:ascii="Malgun Gothic" w:cs="Malgun Gothic" w:eastAsia="Malgun Gothic" w:hAnsi="Malgun Gothic"/>
          <w:b/>
          <w:bCs/>
          <w:color w:val="CC0000"/>
          <w:sz w:val="22"/>
          <w:szCs w:val="22"/>
        </w:rPr>
        <w:t xml:space="preserve">개인정보 침해 관련 구제 방법 미안내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 → 개인정보분쟁조정위원회, 한국인터넷진흥원(KISA) 개인정보침해신고센터, 경찰청 사이버수사국 등 권리침해 시 신고·상담 기관을 안내하는 조항을 추가하는 것이 강력히 권고됩니다.</w:t>
      </w:r>
    </w:p>
    <w:p>
      <w:pPr>
        <w:pBdr>
          <w:bottom w:val="single" w:color="CCCCCC" w:sz="4"/>
        </w:pBdr>
        <w:spacing w:after="160"/>
      </w:pPr>
    </w:p>
    <w:p>
      <w:pPr>
        <w:spacing w:before="3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📊 검토 요약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26"/>
        <w:gridCol w:w="1800"/>
        <w:gridCol w:w="1500"/>
      </w:tblGrid>
      <w:tr>
        <w:tc>
          <w:tcPr>
            <w:tcW w:type="dxa" w:w="1200"/>
            <w:shd w:fill="1F497D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조항</w:t>
            </w:r>
          </w:p>
        </w:tc>
        <w:tc>
          <w:tcPr>
            <w:tcW w:type="dxa" w:w="4526"/>
            <w:shd w:fill="1F497D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문제/누락 사항</w:t>
            </w:r>
          </w:p>
        </w:tc>
        <w:tc>
          <w:tcPr>
            <w:tcW w:type="dxa" w:w="1800"/>
            <w:shd w:fill="1F497D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긴급도</w:t>
            </w:r>
          </w:p>
        </w:tc>
        <w:tc>
          <w:tcPr>
            <w:tcW w:type="dxa" w:w="1500"/>
            <w:shd w:fill="1F497D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법적 근거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제2조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CC0000"/>
                <w:sz w:val="20"/>
                <w:szCs w:val="20"/>
              </w:rPr>
              <w:t xml:space="preserve">자동 수집 항목 미기재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제15조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CC0000"/>
                <w:sz w:val="20"/>
                <w:szCs w:val="20"/>
              </w:rPr>
              <w:t xml:space="preserve">개인정보 처리 위탁 미기재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제26조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CC0000"/>
                <w:sz w:val="20"/>
                <w:szCs w:val="20"/>
              </w:rPr>
              <w:t xml:space="preserve">국외 이전 여부 미기재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제28조의8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제6조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CC0000"/>
                <w:sz w:val="20"/>
                <w:szCs w:val="20"/>
              </w:rPr>
              <w:t xml:space="preserve">권리 행사 방법·절차 미기재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제35~37조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제7조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CC0000"/>
                <w:sz w:val="20"/>
                <w:szCs w:val="20"/>
              </w:rPr>
              <w:t xml:space="preserve">책임자 성명 공란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제31조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CC0000"/>
                <w:sz w:val="20"/>
                <w:szCs w:val="20"/>
              </w:rPr>
              <w:t xml:space="preserve">안전성 확보조치 조항 누락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제29조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마케팅 목적 누락(해당 시)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권고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제22조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제2조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결제 정보 항목 미기재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권고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전자상거래법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제6조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14세 미만 아동 조항 누락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권고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제22조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제8조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방침 시행일·버전 미기재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권고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제30조</w:t>
            </w:r>
          </w:p>
        </w:tc>
      </w:tr>
      <w:tr>
        <w:tc>
          <w:tcPr>
            <w:tcW w:type="dxa" w:w="12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</w:t>
            </w:r>
          </w:p>
        </w:tc>
        <w:tc>
          <w:tcPr>
            <w:tcW w:type="dxa" w:w="4526"/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개인정보 침해 구제기관 안내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권고</w:t>
            </w:r>
          </w:p>
        </w:tc>
        <w:tc>
          <w:tcPr>
            <w:tcW w:type="dxa" w:w="1500"/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개보법 제62조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※ 본 검토 리포트는 법률 자문을 대체하지 않습니다. 최종 방침 공표 전 법률 전문가의 검토를 권고합니다.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2026-02-24T04:08:05.570Z</dcterms:created>
  <dcterms:modified xsi:type="dcterms:W3CDTF">2026-02-24T04:08:05.571Z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