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XRay Executive Summary</w:t>
      </w:r>
    </w:p>
    <w:p>
      <w:r>
        <w:t>Kristian David Castrillón Paz</w:t>
        <w:br/>
        <w:t>Proyecto final · Ciencia de Datos e IA Aplicada</w:t>
        <w:br/>
        <w:t>24 de septiembre de 2026</w:t>
      </w:r>
    </w:p>
    <w:p>
      <w:r>
        <w:t>AI-XRay clasifica radiografías pediátricas en NORMAL y PNEUMONIA. Se probaron tres variantes de ResNet50. El ganador obtuvo un F1 de 96.39% en 302 imágenes de test y se registró en Staging. Es un proyecto académico; todavía no puede usarse para tomar decisiones médicas.</w:t>
      </w:r>
    </w:p>
    <w:p>
      <w:pPr>
        <w:pStyle w:val="Heading1"/>
      </w:pPr>
      <w:r>
        <w:t>1 Problema</w:t>
      </w:r>
    </w:p>
    <w:p>
      <w:r>
        <w:t>El proyecto estudia si un modelo puede señalar radiografías con posibles signos de neumonía para revisión profesional. El objetivo del curso es preparar los datos, comparar modelos, guardar los experimentos y servir el modelo elegido mediante una API.</w:t>
      </w:r>
    </w:p>
    <w:p>
      <w:pPr>
        <w:pStyle w:val="Heading1"/>
      </w:pPr>
      <w:r>
        <w:t>2 Datos</w:t>
      </w:r>
    </w:p>
    <w:p>
      <w:r>
        <w:t>Se inspeccionaron 5856 imágenes reales: 1583 NORMAL y 4273 PNEUMONIA. Se detectaron 170 identificadores compartidos entre carpetas originales y 32 duplicados por contenido decodificado.</w:t>
      </w:r>
    </w:p>
    <w:p>
      <w:r>
        <w:t>Antes de dividir los datos se agruparon los pacientes identificables y los duplicados. Se seleccionaron 1.000 imágenes por clase: 1.389 para entrenamiento, 309 para validación y 302 para test. No se encontraron cruces por los identificadores y hashes disponibles. Los nombres de archivo de NORMAL solo dan una aproximación de la identidad del paciente. Se incluyen las 2.000 imágenes RGB de 224 × 224 y los manifiestos.</w:t>
      </w:r>
    </w:p>
    <w:p>
      <w:pPr>
        <w:pStyle w:val="Heading1"/>
      </w:pPr>
      <w:r>
        <w:t>3 Arquitectura</w:t>
      </w:r>
    </w:p>
    <w:p>
      <w:r>
        <w:t>Se usó ResNet50 preentrenada en ImageNet porque trabaja con imágenes y permite aprovechar lo aprendido sin entrenar una red grande desde cero. Una red densa no aprovecha igual la distribución de los píxeles. Se usan pandas y PySpark para revisar los datos, TensorFlow para entrenar, MLflow para guardar los experimentos y FastAPI para recibir imágenes.</w:t>
      </w:r>
    </w:p>
    <w:p>
      <w:pPr>
        <w:pStyle w:val="Heading1"/>
      </w:pPr>
      <w:r>
        <w:t>4 Modelo</w:t>
      </w:r>
    </w:p>
    <w:p>
      <w:r>
        <w:t>Se reemplazó el clasificador de ResNet50 por GlobalAveragePooling, Dropout y una salida sigmoide. Primero se entrenó esa salida con la base congelada; después se ajustó conv5_block3 con Adam a 1e-5 y BatchNormalization fija. Se usaron lotes de 16, semilla 42 y umbral 0,5. Los pesos por clase se calcularon solo con entrenamiento. EarlyStopping recupera los pesos con menor pérdida de validación.</w:t>
      </w:r>
    </w:p>
    <w:p>
      <w:r>
        <w:br w:type="page"/>
      </w:r>
    </w:p>
    <w:p>
      <w:pPr>
        <w:pStyle w:val="Heading1"/>
      </w:pPr>
      <w:r>
        <w:t>5 Resultados</w:t>
      </w:r>
    </w:p>
    <w:p>
      <w:r>
        <w:t>El modelo elegido se evaluó con todas las imágenes de test. Ese conjunto no se usó para elegir variantes ni cambiar el umbral. Las métricas están guardadas en MLflow.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504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Test del ganador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Accuracy</w:t>
            </w:r>
          </w:p>
        </w:tc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96.36%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Precision</w:t>
            </w:r>
          </w:p>
        </w:tc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97.35%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Recall</w:t>
            </w:r>
          </w:p>
        </w:tc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95.45%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F1</w:t>
            </w:r>
          </w:p>
        </w:tc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96.39%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AUC</w:t>
            </w:r>
          </w:p>
        </w:tc>
        <w:tc>
          <w:tcPr>
            <w:tcW w:type="dxa" w:w="504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99.07%</w:t>
            </w:r>
          </w:p>
        </w:tc>
      </w:tr>
    </w:tbl>
    <w:p>
      <w:r>
        <w:t>Matriz de confusión: 144 normales correctos, 4 falsos positivos, 7 falsos negativos y 147 neumonías correctas. Todas las predicciones están en results/test; no se excluyeron errores del cómputo.</w:t>
      </w:r>
    </w:p>
    <w:p>
      <w:pPr>
        <w:pStyle w:val="Heading1"/>
      </w:pPr>
      <w:r>
        <w:t>6 Experimentos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Variante</w:t>
            </w:r>
          </w:p>
        </w:tc>
        <w:tc>
          <w:tcPr>
            <w:tcW w:type="dxa" w:w="168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LR</w:t>
            </w:r>
          </w:p>
        </w:tc>
        <w:tc>
          <w:tcPr>
            <w:tcW w:type="dxa" w:w="168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Dropout</w:t>
            </w:r>
          </w:p>
        </w:tc>
        <w:tc>
          <w:tcPr>
            <w:tcW w:type="dxa" w:w="168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F1 val</w:t>
            </w:r>
          </w:p>
        </w:tc>
        <w:tc>
          <w:tcPr>
            <w:tcW w:type="dxa" w:w="168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Recall val</w:t>
            </w:r>
          </w:p>
        </w:tc>
        <w:tc>
          <w:tcPr>
            <w:tcW w:type="dxa" w:w="1680"/>
            <w:vAlign w:val="center"/>
            <w:shd w:fill="E7E6E6"/>
          </w:tcPr>
          <w:p>
            <w:pPr>
              <w:spacing w:after="80"/>
            </w:pPr>
            <w:r>
              <w:rPr>
                <w:b/>
                <w:sz w:val="20"/>
              </w:rPr>
              <w:t>AUC val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A congelada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0.0007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0.25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95.27%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93.21%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99.13%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B congelada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0.0003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0.5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94.97%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93.21%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98.62%</w:t>
            </w:r>
          </w:p>
        </w:tc>
      </w:tr>
      <w:tr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C fine tuning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1e-05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0.25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95.60%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93.83%</w:t>
            </w:r>
          </w:p>
        </w:tc>
        <w:tc>
          <w:tcPr>
            <w:tcW w:type="dxa" w:w="1680"/>
            <w:vAlign w:val="center"/>
          </w:tcPr>
          <w:p>
            <w:pPr>
              <w:spacing w:after="80"/>
            </w:pPr>
            <w:r>
              <w:rPr>
                <w:b w:val="0"/>
                <w:sz w:val="20"/>
              </w:rPr>
              <w:t>99.16%</w:t>
            </w:r>
          </w:p>
        </w:tc>
      </w:tr>
    </w:tbl>
    <w:p>
      <w:r>
        <w:t>A entrenó el clasificador durante 8 épocas. B también usó 8 épocas, pero redujo la tasa de aprendizaje y aumentó dropout para probar mayor regularización. Como se cambiaron dos valores, no se puede atribuir la diferencia a uno solo. C partió del mejor modelo congelado y ajustó el último bloque durante 2 épocas.</w:t>
      </w:r>
    </w:p>
    <w:p>
      <w:r>
        <w:t>A y B reutilizan características de la imagen original y una vista aumentada fija por imagen de entrenamiento. Esto reduce el tiempo de cálculo, pero limita la variedad de aumentos. C aplica aumentos nuevos por época. Cada ejecución guarda parámetros, métricas por época, curvas, informe de clasificación, modelo y su firma de entrada y salida.</w:t>
      </w:r>
    </w:p>
    <w:p>
      <w:pPr>
        <w:pStyle w:val="Heading1"/>
      </w:pPr>
      <w:r>
        <w:t>7 Mejor modelo</w:t>
      </w:r>
    </w:p>
    <w:p>
      <w:r>
        <w:t>Se seleccionó finetune_conv5_block3_lr1e-5 por F1 de validación de 95.60%. La regla desempata por recall y AUC, sin consultar test. Se registró como aixray_pneumonia_classifier, versión 1, stage Staging, alias champion. La recarga del Registry produjo las mismas predicciones que el modelo exportado.</w:t>
      </w:r>
    </w:p>
    <w:p>
      <w:r>
        <w:br w:type="page"/>
      </w:r>
    </w:p>
    <w:p>
      <w:pPr>
        <w:pStyle w:val="Heading1"/>
      </w:pPr>
      <w:r>
        <w:t>8 Arquitectura de producción</w:t>
      </w:r>
    </w:p>
    <w:p>
      <w:r>
        <w:t>FastAPI carga el modelo una sola vez. /health indica si está disponible y /predict recibe JPEG o PNG. Se comprobó que la preparación de la imagen coincide con evaluación. La API devuelve errores para archivos inválidos, demasiado grandes o ausentes, modelo no disponible y fallos durante la predicción.</w:t>
      </w:r>
    </w:p>
    <w:p>
      <w:r>
        <w:t>Se aprobaron 15 pruebas automatizadas y se enviaron 20 radiografías por HTTP al servidor Uvicorn. Se probó en Linux con Python 3.12 y CPU. Las instrucciones para Windows están incluidas, aunque ese sistema no se probó.</w:t>
      </w:r>
    </w:p>
    <w:p>
      <w:r>
        <w:t>La entrega cubre la fase local. En Databricks, las imágenes irían a un volumen, el manifiesto a Delta y los experimentos a MLflow gestionado. Esa migración se describe, pero no se implementó. Para un servicio real harían falta validación clínica externa, autenticación, protección de datos y seguimiento del rendimiento del modelo.</w:t>
      </w:r>
    </w:p>
    <w:p>
      <w:pPr>
        <w:pStyle w:val="Heading1"/>
      </w:pPr>
      <w:r>
        <w:t>9 Limitaciones</w:t>
      </w:r>
    </w:p>
    <w:p>
      <w:r>
        <w:t>Los nombres y hashes permiten evitar los cruces detectables, pero no confirmar la identidad de todos los pacientes ni descartar todas las imágenes casi iguales. La muestra es pequeña, pediátrica y balanceada; no representa la proporción de casos de un hospital. No se probaron otros centros, edades, equipos ni varias semillas. Los scores no están calibrados como probabilidades clínicas y reducir las imágenes pierde detalle.</w:t>
      </w:r>
    </w:p>
    <w:p>
      <w:r>
        <w:t>Este sistema es un proyecto académico de inteligencia artificial y no constituye un diagnóstico médico ni sustituye la evaluación de un profesional de la salud.</w:t>
      </w:r>
    </w:p>
    <w:p>
      <w:pPr>
        <w:pStyle w:val="Heading1"/>
      </w:pPr>
      <w:r>
        <w:t>10 Impacto potencial</w:t>
      </w:r>
    </w:p>
    <w:p>
      <w:r>
        <w:t>En una simulación de priorización sobre este test, el modelo marcaría 151 de 302 imágenes: 147 neumonías y 4 falsas alarmas. Dejaría sin marcar 7 de las 154 neumonías. Esto muestra una posible utilidad para priorizar revisiones y el riesgo de dejar casos por fuera. No se midieron ahorros de tiempo o costos ni mejoras en pacientes. Se necesitarían más pruebas antes de pensar en un uso clínico.</w:t>
      </w:r>
    </w:p>
    <w:p>
      <w:pPr>
        <w:pStyle w:val="Heading1"/>
      </w:pPr>
      <w:r>
        <w:t>Fuentes</w:t>
      </w:r>
    </w:p>
    <w:p>
      <w:r>
        <w:rPr>
          <w:sz w:val="18"/>
        </w:rPr>
        <w:t>Kermany D, Goldbaum M, Cai W et al. Cell. 2018;172:1122–1131. doi:10.1016/j.cell.2018.02.010. Dataset: Kermany, Zhang y Goldbaum, Mendeley Data v2, doi:10.17632/rscbjbr9sj.2; distribución Kaggle andrewmvd/pediatric-pneumonia-chest-xray, CC BY 4.0. Evidencia: mlflow.db y results/.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David Castrillón Paz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