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00"/>
        <w:rPr/>
      </w:pPr>
      <w:r>
        <w:rPr/>
        <w:t>AI Car Modification — Değerlendirme Dokümanı</w:t>
      </w:r>
    </w:p>
    <w:p>
      <w:pPr>
        <w:pStyle w:val="Normal"/>
        <w:spacing w:before="0" w:after="400"/>
        <w:rPr/>
      </w:pPr>
      <w:r>
        <w:rPr>
          <w:i/>
          <w:iCs/>
          <w:color w:val="555555"/>
        </w:rPr>
        <w:t>Test Case — Görev 1, 2 ve 3 birleşik teknik değerlendirme</w:t>
      </w:r>
    </w:p>
    <w:p>
      <w:pPr>
        <w:pStyle w:val="Heading1"/>
        <w:spacing w:before="300" w:after="150"/>
        <w:rPr/>
      </w:pPr>
      <w:r>
        <w:rPr/>
        <w:t>1. Görev 1 Promptları Üzerine İnceleme</w:t>
      </w:r>
    </w:p>
    <w:p>
      <w:pPr>
        <w:pStyle w:val="Normal"/>
        <w:spacing w:before="0" w:after="160"/>
        <w:rPr/>
      </w:pPr>
      <w:r>
        <w:rPr/>
        <w:t>Altı asset kategorisinin (Rim, Tire, Front Bumper, Hood, Rear Spoiler, Exhaust) tamamı ortak bir iskelet üzerine kuruldu: sabit beyaz arka plan (RGB 255,255,255), tek obje, stüdyo ışığı + yumuşak gölge, cut-out ürün fotoğrafı stili, ve markaya/logoya dair hiçbir iz bulunmaması. Bu iskelet, altı kategoride de birebir korunarak set içi görsel tutarlılık sağlandı.</w:t>
      </w:r>
    </w:p>
    <w:p>
      <w:pPr>
        <w:pStyle w:val="Heading2"/>
        <w:spacing w:before="240" w:after="120"/>
        <w:rPr/>
      </w:pPr>
      <w:r>
        <w:rPr/>
        <w:t>1.1 Kategoriye özel kamera açısı seçimleri</w:t>
      </w:r>
    </w:p>
    <w:p>
      <w:pPr>
        <w:pStyle w:val="Normal"/>
        <w:spacing w:before="0" w:after="160"/>
        <w:rPr/>
      </w:pPr>
      <w:r>
        <w:rPr/>
        <w:t>Her kategori için açı, o parçanın ayırt edici özelliğinin en net görüneceği şekilde seçildi — bu, rastgele değil, parçanın 'kimlik özelliğine' göre bilinçli bir karardı:</w:t>
      </w:r>
    </w:p>
    <w:p>
      <w:pPr>
        <w:pStyle w:val="ListParagraph"/>
        <w:numPr>
          <w:ilvl w:val="0"/>
          <w:numId w:val="1"/>
        </w:numPr>
        <w:spacing w:before="0" w:after="80"/>
        <w:rPr/>
      </w:pPr>
      <w:r>
        <w:rPr/>
        <w:t>Rim: 45° ön 3/4 açı — jant yüzeyi ve spoke deseni bu açıda en iyi okunuyor.</w:t>
      </w:r>
    </w:p>
    <w:p>
      <w:pPr>
        <w:pStyle w:val="ListParagraph"/>
        <w:numPr>
          <w:ilvl w:val="0"/>
          <w:numId w:val="1"/>
        </w:numPr>
        <w:spacing w:before="0" w:after="80"/>
        <w:rPr/>
      </w:pPr>
      <w:r>
        <w:rPr/>
        <w:t>Tire: düz yandan profil — sırt (tread) deseni, tirenin en ayırt edici özelliği, sadece bu açıda net.</w:t>
      </w:r>
    </w:p>
    <w:p>
      <w:pPr>
        <w:pStyle w:val="ListParagraph"/>
        <w:numPr>
          <w:ilvl w:val="0"/>
          <w:numId w:val="1"/>
        </w:numPr>
        <w:spacing w:before="0" w:after="80"/>
        <w:rPr/>
      </w:pPr>
      <w:r>
        <w:rPr/>
        <w:t>Front Bumper: düz önden (0°) — 3/4 açıda parçanın sağ/sol yönü modelde tutarsız çıktı, simetrik düz açı bu belirsizliği tamamen ortadan kaldırdı.</w:t>
      </w:r>
    </w:p>
    <w:p>
      <w:pPr>
        <w:pStyle w:val="ListParagraph"/>
        <w:numPr>
          <w:ilvl w:val="0"/>
          <w:numId w:val="1"/>
        </w:numPr>
        <w:spacing w:before="0" w:after="80"/>
        <w:rPr/>
      </w:pPr>
      <w:r>
        <w:rPr/>
        <w:t>Hood: hafif yukarıdan açı — vent, bulge ve crease çizgileri sadece üstten bakışta görülebiliyor.</w:t>
      </w:r>
    </w:p>
    <w:p>
      <w:pPr>
        <w:pStyle w:val="ListParagraph"/>
        <w:numPr>
          <w:ilvl w:val="0"/>
          <w:numId w:val="1"/>
        </w:numPr>
        <w:spacing w:before="0" w:after="80"/>
        <w:rPr/>
      </w:pPr>
      <w:r>
        <w:rPr/>
        <w:t>Rear Spoiler: yandan hafif 3/4, düşük kamera yüksekliği (~15-20°) — blade derinliği ve kavis bu açıyla görünür kalırken, dik üstten açı düz bir silüete indirgiyordu.</w:t>
      </w:r>
    </w:p>
    <w:p>
      <w:pPr>
        <w:pStyle w:val="ListParagraph"/>
        <w:numPr>
          <w:ilvl w:val="0"/>
          <w:numId w:val="1"/>
        </w:numPr>
        <w:spacing w:before="0" w:after="80"/>
        <w:rPr/>
      </w:pPr>
      <w:r>
        <w:rPr/>
        <w:t>Exhaust: düz arkadan (0°) — tüm tasarımlarda boru ağzının (bore) kameraya dönük olması gerektiği gözlemlendi, simetrik açı yön tutarsızlığını çözdü.</w:t>
      </w:r>
    </w:p>
    <w:p>
      <w:pPr>
        <w:pStyle w:val="Heading2"/>
        <w:spacing w:before="240" w:after="120"/>
        <w:rPr/>
      </w:pPr>
      <w:r>
        <w:rPr/>
        <w:t>1.2 Tekrarlayan iterasyon örüntüleri</w:t>
      </w:r>
    </w:p>
    <w:p>
      <w:pPr>
        <w:pStyle w:val="Normal"/>
        <w:spacing w:before="0" w:after="160"/>
        <w:rPr/>
      </w:pPr>
      <w:r>
        <w:rPr/>
        <w:t>Altı kategori genelinde iki hata türü tekrarlayan bir örüntü oluşturdu:</w:t>
      </w:r>
    </w:p>
    <w:p>
      <w:pPr>
        <w:pStyle w:val="ListParagraph"/>
        <w:numPr>
          <w:ilvl w:val="0"/>
          <w:numId w:val="1"/>
        </w:numPr>
        <w:spacing w:before="0" w:after="80"/>
        <w:rPr/>
      </w:pPr>
      <w:r>
        <w:rPr/>
        <w:t>Yön/rotasyon belirsizliği: Bumper ve Exhaust gibi neredeyse simetrik objelerde, 3/4 açı istendiğinde model üç tasarım arasında farklı rotasyon miktarları üretti. Çözüm, yön belirtmek yerine simetrik bir açıya (0°) geçmekti.</w:t>
      </w:r>
    </w:p>
    <w:p>
      <w:pPr>
        <w:pStyle w:val="ListParagraph"/>
        <w:numPr>
          <w:ilvl w:val="0"/>
          <w:numId w:val="1"/>
        </w:numPr>
        <w:spacing w:before="0" w:after="80"/>
        <w:rPr/>
      </w:pPr>
      <w:r>
        <w:rPr/>
        <w:t>Sahte logo/marka üretimi: Rim ve Rear Spoiler'da, açık bir 'no logo' talimatı olmadan model kendiliğinden marka benzeri bir işaret/yazı üretti. Çözüm, 'no text, no logo, no brand name, no lettering' talimatını açıkça ve hedef yüzeyi belirterek eklemekti.</w:t>
      </w:r>
    </w:p>
    <w:p>
      <w:pPr>
        <w:pStyle w:val="Normal"/>
        <w:spacing w:before="0" w:after="160"/>
        <w:rPr/>
      </w:pPr>
      <w:r>
        <w:rPr/>
        <w:t>Bu iki örüntü, Görev 2'de karşılaşılan sorunların bir kısmıyla doğrudan bağlantılı: model, 'belirsizlik' ile karşılaştığında ya tutarsız/rastgele davranıyor (yön sorunu) ya da kendi öğrendiği varsayılan içeriği (marka/logo) geri getiriyor. Görev 2'deki 'orijinal parçayı koruma refleksi' de aynı kökten geliyor.</w:t>
      </w:r>
    </w:p>
    <w:p>
      <w:pPr>
        <w:pStyle w:val="Heading1"/>
        <w:spacing w:before="300" w:after="150"/>
        <w:rPr/>
      </w:pPr>
      <w:r>
        <w:rPr/>
        <w:t>2. Görev 2 — Zincirleme Prompt Yaklaşımının Gerekçesi</w:t>
      </w:r>
    </w:p>
    <w:p>
      <w:pPr>
        <w:pStyle w:val="Heading2"/>
        <w:spacing w:before="240" w:after="120"/>
        <w:rPr/>
      </w:pPr>
      <w:r>
        <w:rPr/>
        <w:t>2.1 Neden tek promptla 6 parça mümkün olmadı</w:t>
      </w:r>
    </w:p>
    <w:p>
      <w:pPr>
        <w:pStyle w:val="Normal"/>
        <w:spacing w:before="0" w:after="160"/>
        <w:rPr/>
      </w:pPr>
      <w:r>
        <w:rPr/>
        <w:t>İlk denemelerde 6 parçanın (veya 2-3 parçanın) aynı promptla, aynı anda değiştirilmesi denendi. Gözlemlenen davranış: model 3 veya daha fazla eşzamanlı bölgesel değişiklik istendiğinde halüsinasyon göstermeye başladı — arka plan, kamera açısı, ışık yönü ya da değiştirilmesi istenmeyen bölgeler de kaymaya/değişmeye başladı. Bu, modelin dikkatinin çok sayıda talimat arasında bölündüğü ve 'değişmeyecek' bölgeleri de yeniden üretim sürecine dahil ettiği anlamına geliyor.</w:t>
      </w:r>
    </w:p>
    <w:p>
      <w:pPr>
        <w:pStyle w:val="Normal"/>
        <w:spacing w:before="0" w:after="160"/>
        <w:rPr/>
      </w:pPr>
      <w:r>
        <w:rPr/>
        <w:t>Bu gözlem, zincirleme (sequential) prompt stratejisini zorunlu kıldı: her adımda yalnızca 1 bölgesel değişiklik istenip, geri kalan her şeyin 'olduğu gibi korunması' açıkça talep edildiğinde, model çok daha güvenilir çalıştı.</w:t>
      </w:r>
    </w:p>
    <w:p>
      <w:pPr>
        <w:pStyle w:val="Heading2"/>
        <w:spacing w:before="240" w:after="120"/>
        <w:rPr/>
      </w:pPr>
      <w:r>
        <w:rPr/>
        <w:t>2.2 Wheel + Tire istisnası</w:t>
      </w:r>
    </w:p>
    <w:p>
      <w:pPr>
        <w:pStyle w:val="Normal"/>
        <w:spacing w:before="0" w:after="160"/>
        <w:rPr/>
      </w:pPr>
      <w:r>
        <w:rPr/>
        <w:t>Rim ve Tire, farklı iki parça olmasına rağmen tek promptta birlikte başarıyla işlendi. Bunun nedeni, ikisinin de aynı fiziksel bölgeye (tekerlek alanı) ait olması — model için bu, iki ayrı bölgesel değişiklik değil, 'tek bir bölgenin bütünsel güncellenmesi' gibi algılandı. Buna karşılık, Front Bumper + Hood gibi farklı fiziksel bölgelere ait parça çiftleri aynı promptta verildiğinde, model tutarlı biçimde ikisinden birini (genellikle daha 'sabit/tekrarlayan' görüneni) atladı veya eksik uyguladı. Bu, Görev 2 boyunca tekrar tekrar doğrulanan bir örüntü oldu.</w:t>
      </w:r>
    </w:p>
    <w:p>
      <w:pPr>
        <w:pStyle w:val="Heading2"/>
        <w:spacing w:before="240" w:after="120"/>
        <w:rPr/>
      </w:pPr>
      <w:r>
        <w:rPr/>
        <w:t>2.3 Neden bu model için zincirleme prompt işe yarıyor</w:t>
      </w:r>
    </w:p>
    <w:p>
      <w:pPr>
        <w:pStyle w:val="Normal"/>
        <w:spacing w:before="0" w:after="160"/>
        <w:rPr/>
      </w:pPr>
      <w:r>
        <w:rPr/>
        <w:t>Kullanılan model (NanoBanana), belirli araç parçaları için ayrı ayrı eğitilmiş, parça-bazlı (part-specific) fine-tune edilmiş bir model değil — genel amaçlı bir görsel düzenleme modeli. Bu nedenle modelin 'bumper nedir, hood nedir' bilgisi görsel-dilsel çıkarımdan geliyor, parçaya özel bir davranış modülünden değil. Bu mimari gerçeklik, zincirleme prompt stratejisinin neden işe yaradığını açıklıyor: her adımda modelin dikkatini tek bir bölgeye daraltmak, genel amaçlı bir modelin sınırlı 'bölgesel odaklanma' kapasitesini zorlamadan kullanmanın yoludur.</w:t>
      </w:r>
    </w:p>
    <w:p>
      <w:pPr>
        <w:pStyle w:val="Normal"/>
        <w:spacing w:before="0" w:after="160"/>
        <w:rPr/>
      </w:pPr>
      <w:r>
        <w:rPr/>
        <w:t>Alternatif olarak denenebilecek/denenmesi önerilen modeller ve yaklaşımlar:</w:t>
      </w:r>
    </w:p>
    <w:p>
      <w:pPr>
        <w:pStyle w:val="ListParagraph"/>
        <w:numPr>
          <w:ilvl w:val="0"/>
          <w:numId w:val="1"/>
        </w:numPr>
        <w:spacing w:before="0" w:after="80"/>
        <w:rPr/>
      </w:pPr>
      <w:r>
        <w:rPr/>
        <w:t>Gerçek maskeleme (masking) destekleyen araçlar — Adobe Firefly Generative Fill, Photoshop'ın kendi inpainting'i — kullanıcının/sistemin elle bir maske çizmesine izin verdiği için 'hangi bölge değişecek' belirsizliği tamamen ortadan kalkar.</w:t>
      </w:r>
    </w:p>
    <w:p>
      <w:pPr>
        <w:pStyle w:val="ListParagraph"/>
        <w:numPr>
          <w:ilvl w:val="0"/>
          <w:numId w:val="1"/>
        </w:numPr>
        <w:spacing w:before="0" w:after="80"/>
        <w:rPr/>
      </w:pPr>
      <w:r>
        <w:rPr/>
        <w:t>ChatGPT / GPT-Image tabanlı görsel düzenleme — farklı bir eğitim verisi ve farklı bir 'koruma refleksi' profiline sahip olabilir, bumper/badge direncinin bu modelde daha az olup olmadığı test edilmeli.</w:t>
      </w:r>
    </w:p>
    <w:p>
      <w:pPr>
        <w:pStyle w:val="ListParagraph"/>
        <w:numPr>
          <w:ilvl w:val="0"/>
          <w:numId w:val="1"/>
        </w:numPr>
        <w:spacing w:before="0" w:after="80"/>
        <w:rPr/>
      </w:pPr>
      <w:r>
        <w:rPr/>
        <w:t>Stable Diffusion + ControlNet + elle çizilmiş inpainting maskesi — tam kontrol sağlar ama teknik kurulum ve entegrasyon maliyeti daha yüksektir.</w:t>
      </w:r>
    </w:p>
    <w:p>
      <w:pPr>
        <w:pStyle w:val="Heading2"/>
        <w:spacing w:before="240" w:after="120"/>
        <w:rPr/>
      </w:pPr>
      <w:r>
        <w:rPr/>
        <w:t>2.4 Direngen parça kategorileri: büyük/detaylı vs. küçük/benzer</w:t>
      </w:r>
    </w:p>
    <w:p>
      <w:pPr>
        <w:pStyle w:val="Normal"/>
        <w:spacing w:before="0" w:after="160"/>
        <w:rPr/>
      </w:pPr>
      <w:r>
        <w:rPr/>
        <w:t>Görev 2 boyunca iki farklı 'direnç' türü gözlemlendi, farklı sebeplerden kaynaklanan:</w:t>
      </w:r>
    </w:p>
    <w:p>
      <w:pPr>
        <w:pStyle w:val="ListParagraph"/>
        <w:numPr>
          <w:ilvl w:val="0"/>
          <w:numId w:val="1"/>
        </w:numPr>
        <w:spacing w:before="0" w:after="80"/>
        <w:rPr/>
      </w:pPr>
      <w:r>
        <w:rPr/>
        <w:t>Büyük, gövdeye entegre, marka amblemi/ızgara içeren parçalar (Front Bumper, kısmen Hood): model, orijinal tasarımı 'koruma refleksi' gösterdi — muhtemelen marka kimliğini bozmama yönünde bir eğitim eğilimi. Uzun, çok vurgulu (STRICT/ground-truth) promptlar bu direnci kısmen kırdı, ama tutarlı/garanti bir çözüm olmadı.</w:t>
      </w:r>
    </w:p>
    <w:p>
      <w:pPr>
        <w:pStyle w:val="ListParagraph"/>
        <w:numPr>
          <w:ilvl w:val="0"/>
          <w:numId w:val="1"/>
        </w:numPr>
        <w:spacing w:before="0" w:after="80"/>
        <w:rPr/>
      </w:pPr>
      <w:r>
        <w:rPr/>
        <w:t>Küçük, referansla renk/genel görünüm benzerliği olan parçalar (özellikle Tire): model, referans ile mevcut parça arasında yüzeysel bir benzerlik (örn. her ikisi de siyah) gördüğünde 'zaten aynı, değişikliğe gerek yok' varsayımıyla değişikliği tamamen atladı — rengin aynı olması, tasarımın/deseninin de aynı olduğu anlamına gelmiyor, ama model bu ayrımı güvenilir şekilde yapamadı.</w:t>
      </w:r>
    </w:p>
    <w:p>
      <w:pPr>
        <w:pStyle w:val="Normal"/>
        <w:spacing w:before="0" w:after="160"/>
        <w:rPr/>
      </w:pPr>
      <w:r>
        <w:rPr/>
        <w:t>Özetle: direnç, parçanın büyüklüğünden değil, ya 'marka/kimlik hassasiyeti' ya da 'yüzeysel benzerlik nedeniyle önceliksizleştirme' gibi iki farklı model davranışından kaynaklanıyor.</w:t>
      </w:r>
    </w:p>
    <w:p>
      <w:pPr>
        <w:pStyle w:val="Heading1"/>
        <w:spacing w:before="300" w:after="150"/>
        <w:rPr/>
      </w:pPr>
      <w:r>
        <w:rPr/>
        <w:t>3. İleriye Dönük Proje Mimarisi Önerisi</w:t>
      </w:r>
    </w:p>
    <w:p>
      <w:pPr>
        <w:pStyle w:val="Normal"/>
        <w:spacing w:before="0" w:after="160"/>
        <w:rPr/>
      </w:pPr>
      <w:r>
        <w:rPr/>
        <w:t xml:space="preserve">Gerçek bir üründe kullanıcının istediği sayıda ve türde parçayı seçebilmesi gerekiyor; kullanıcıya 'her parçayı ayrı ayrı gönder' yükünü bindirmek doğru değil. </w:t>
      </w:r>
      <w:r>
        <w:rPr/>
        <w:t xml:space="preserve">Ayrıca gerçek projede aracın birden fazla yönden fotoğrafının istenmeside aslında aynı anda tek promtla çalışma olasılığını arttıracaktır. </w:t>
      </w:r>
      <w:r>
        <w:rPr/>
        <w:t>Önerilen mimari:</w:t>
      </w:r>
    </w:p>
    <w:p>
      <w:pPr>
        <w:pStyle w:val="ListParagraph"/>
        <w:numPr>
          <w:ilvl w:val="0"/>
          <w:numId w:val="1"/>
        </w:numPr>
        <w:spacing w:before="0" w:after="80"/>
        <w:rPr/>
      </w:pPr>
      <w:r>
        <w:rPr/>
        <w:t>Kullanıcı arayüzde istediği kadar parça seçer (1'den 6'ya kadar), sıralama veya zincirleme mantığını görmez.</w:t>
      </w:r>
    </w:p>
    <w:p>
      <w:pPr>
        <w:pStyle w:val="ListParagraph"/>
        <w:numPr>
          <w:ilvl w:val="0"/>
          <w:numId w:val="1"/>
        </w:numPr>
        <w:spacing w:before="0" w:after="80"/>
        <w:rPr/>
      </w:pPr>
      <w:r>
        <w:rPr/>
        <w:t>Backend'de agentic bir sistem, seçilen parçaları otomatik olarak uygun sıraya koyar (örn. aynı bölgedekiler birlikte, farklı bölgedekiler ayrı adımlarda) ve zincirleme promptları arka planda sırayla çalıştırır.</w:t>
      </w:r>
    </w:p>
    <w:p>
      <w:pPr>
        <w:pStyle w:val="ListParagraph"/>
        <w:numPr>
          <w:ilvl w:val="0"/>
          <w:numId w:val="1"/>
        </w:numPr>
        <w:spacing w:before="0" w:after="80"/>
        <w:rPr/>
      </w:pPr>
      <w:r>
        <w:rPr/>
        <w:t>Kullanıcıya yalnızca tek, birleşik son çıktı gösterilir — ara adımlar (rim değişti, şimdi bumper değişiyor, vs.) kullanıcıdan gizlenir, süreç şeffaf değildir ama sonuç tektir.</w:t>
      </w:r>
    </w:p>
    <w:p>
      <w:pPr>
        <w:pStyle w:val="Normal"/>
        <w:spacing w:before="0" w:after="160"/>
        <w:rPr/>
      </w:pPr>
      <w:r>
        <w:rPr/>
        <w:t>Bu mimaride, direngen parça kategorileri (büyük/detaylı ya da küçük/benzer parçalar) için iki yol önerilir:</w:t>
      </w:r>
    </w:p>
    <w:p>
      <w:pPr>
        <w:pStyle w:val="ListParagraph"/>
        <w:numPr>
          <w:ilvl w:val="0"/>
          <w:numId w:val="1"/>
        </w:numPr>
        <w:spacing w:before="0" w:after="80"/>
        <w:rPr/>
      </w:pPr>
      <w:r>
        <w:rPr/>
        <w:t>(a) Model değişimi: O parça kategorisi için farklı bir model/servis (örn. gerçek maskeleme destekleyen bir araç) kullanılır.</w:t>
      </w:r>
    </w:p>
    <w:p>
      <w:pPr>
        <w:pStyle w:val="ListParagraph"/>
        <w:numPr>
          <w:ilvl w:val="0"/>
          <w:numId w:val="1"/>
        </w:numPr>
        <w:spacing w:before="0" w:after="80"/>
        <w:rPr/>
      </w:pPr>
      <w:r>
        <w:rPr/>
        <w:t>(b) İki aşamalı pipeline: Önce image-to-text ile referans parçanın görsel özellikleri (tasarım, doku, karakteristik detaylar) metne çıkarılır; ardından bu metin, image-to-image promptuna zenginleştirilmiş bir tarif olarak enjekte edilir. Bu, Görev 2'de manuel olarak yaptığımız 'referans parçayı kelimelerle tarif etme' adımını otomatikleştirir.</w:t>
      </w:r>
    </w:p>
    <w:p>
      <w:pPr>
        <w:pStyle w:val="Normal"/>
        <w:spacing w:before="0" w:after="160"/>
        <w:rPr/>
      </w:pPr>
      <w:r>
        <w:rPr/>
        <w:t>Bu agentic sistem içinde birden fazla model/servis paralel olarak test edilip performans, hız ve maliyet karşılaştırması yapılabilir; sonuç kalitesi, işlem süresi ve API maliyeti birlikte değerlendirilerek her parça kategorisi için en uygun model otomatik ya da manuel olarak seçilebilir.</w:t>
      </w:r>
    </w:p>
    <w:p>
      <w:pPr>
        <w:pStyle w:val="Heading1"/>
        <w:spacing w:before="300" w:after="150"/>
        <w:rPr/>
      </w:pPr>
      <w:r>
        <w:rPr/>
        <w:t>4. Görev 3 — Kalite Analizi</w:t>
      </w:r>
    </w:p>
    <w:p>
      <w:pPr>
        <w:pStyle w:val="Heading2"/>
        <w:spacing w:before="240" w:after="120"/>
        <w:rPr/>
      </w:pPr>
      <w:r>
        <w:rPr/>
        <w:t>1. Ürettiğiniz çıktılarda en çok zorlandığınız konu neydi?</w:t>
      </w:r>
    </w:p>
    <w:p>
      <w:pPr>
        <w:pStyle w:val="Normal"/>
        <w:spacing w:before="0" w:after="160"/>
        <w:rPr/>
      </w:pPr>
      <w:r>
        <w:rPr/>
        <w:t>Gövdeye entegre, marka amblemi ve ızgara içeren parçaların (özellikle Front Bumper) değiştirilmesi. Model, orijinal ızgara/amblemi koruma yönünde tutarlı bir direnç gösterdi; bu direnci kırmak için onlarca prompt iterasyonu (kısa/uzun, STRICT format, context injection, açı adaptasyonu, opaklık ve mesh detay vurgusu) denendi, kısmi ilerleme kaydedildi ama tam ve tutarlı bir çözüme ulaşılamadı.</w:t>
      </w:r>
    </w:p>
    <w:p>
      <w:pPr>
        <w:pStyle w:val="Heading2"/>
        <w:spacing w:before="240" w:after="120"/>
        <w:rPr/>
      </w:pPr>
      <w:r>
        <w:rPr/>
        <w:t>2. AI'ın yaptığı en büyük hata neydi?</w:t>
      </w:r>
    </w:p>
    <w:p>
      <w:pPr>
        <w:pStyle w:val="Normal"/>
        <w:spacing w:before="0" w:after="160"/>
        <w:rPr/>
      </w:pPr>
      <w:r>
        <w:rPr/>
        <w:t>İki farklı hata türü tekrarlayan biçimde gözlemlendi:</w:t>
      </w:r>
    </w:p>
    <w:p>
      <w:pPr>
        <w:pStyle w:val="ListParagraph"/>
        <w:numPr>
          <w:ilvl w:val="0"/>
          <w:numId w:val="1"/>
        </w:numPr>
        <w:spacing w:before="0" w:after="80"/>
        <w:rPr/>
      </w:pPr>
      <w:r>
        <w:rPr/>
        <w:t>Değişiklik yapılmadan görselin olduğu gibi geri döndürülmesi — özellikle referans parça ile mevcut parça arasında yüzeysel bir renk benzerliği olduğunda (örn. ikisi de siyah).</w:t>
      </w:r>
    </w:p>
    <w:p>
      <w:pPr>
        <w:pStyle w:val="ListParagraph"/>
        <w:numPr>
          <w:ilvl w:val="0"/>
          <w:numId w:val="1"/>
        </w:numPr>
        <w:spacing w:before="0" w:after="80"/>
        <w:rPr/>
      </w:pPr>
      <w:r>
        <w:rPr/>
        <w:t>Parçanın araca monte edilmek yerine sahneye ayrı bir obje olarak yerleştirilmesi (örn. yedek bumper'ın kumsalın üzerine, aracın yanına konması) — bir 'değiştirme/entegrasyon' talebinin 'iki objeyi yan yana kompozisyon' olarak yanlış yorumlanması.</w:t>
      </w:r>
    </w:p>
    <w:p>
      <w:pPr>
        <w:pStyle w:val="Heading2"/>
        <w:spacing w:before="240" w:after="120"/>
        <w:rPr/>
      </w:pPr>
      <w:r>
        <w:rPr/>
        <w:t>3. Bu hatayı azaltmak için promptta neleri değiştirdiniz?</w:t>
      </w:r>
    </w:p>
    <w:p>
      <w:pPr>
        <w:pStyle w:val="ListParagraph"/>
        <w:numPr>
          <w:ilvl w:val="0"/>
          <w:numId w:val="1"/>
        </w:numPr>
        <w:spacing w:before="0" w:after="80"/>
        <w:rPr/>
      </w:pPr>
      <w:r>
        <w:rPr/>
        <w:t>'Bu bir kompozisyon değil, tek bir fotoğraf düzenleme görevidir' vurgusu ve 'yere koyma, ayrı obje olarak gösterme' yasağı eklendi.</w:t>
      </w:r>
    </w:p>
    <w:p>
      <w:pPr>
        <w:pStyle w:val="ListParagraph"/>
        <w:numPr>
          <w:ilvl w:val="0"/>
          <w:numId w:val="1"/>
        </w:numPr>
        <w:spacing w:before="0" w:after="80"/>
        <w:rPr/>
      </w:pPr>
      <w:r>
        <w:rPr/>
        <w:t>'Renk benzerliği değişiklik gerekmediği anlamına gelmez' talimatı eklendi.</w:t>
      </w:r>
    </w:p>
    <w:p>
      <w:pPr>
        <w:pStyle w:val="ListParagraph"/>
        <w:numPr>
          <w:ilvl w:val="0"/>
          <w:numId w:val="1"/>
        </w:numPr>
        <w:spacing w:before="0" w:after="80"/>
        <w:rPr/>
      </w:pPr>
      <w:r>
        <w:rPr/>
        <w:t>Referans parçanın hâlihazırda değişmiş olan diğer parçaları (jant, lastik, vb.) 'zaten modifiye edilmiş, orijinal değil, geri döndürme' şeklinde bağlamsallaştırılması eklendi.</w:t>
      </w:r>
    </w:p>
    <w:p>
      <w:pPr>
        <w:pStyle w:val="ListParagraph"/>
        <w:numPr>
          <w:ilvl w:val="0"/>
          <w:numId w:val="1"/>
        </w:numPr>
        <w:spacing w:before="0" w:after="80"/>
        <w:rPr/>
      </w:pPr>
      <w:r>
        <w:rPr/>
        <w:t>Açı adaptasyonu için açık talimat: referans görsel düz açıdan, araç 3/4 açıdan olduğunda, bu dönüşümün açıkça istenmesi gerekti.</w:t>
      </w:r>
    </w:p>
    <w:p>
      <w:pPr>
        <w:pStyle w:val="ListParagraph"/>
        <w:numPr>
          <w:ilvl w:val="0"/>
          <w:numId w:val="1"/>
        </w:numPr>
        <w:spacing w:before="0" w:after="80"/>
        <w:rPr/>
      </w:pPr>
      <w:r>
        <w:rPr/>
        <w:t>Kısa/öz promptlar ile uzun/vurgulu (STRICT/ground-truth) promptlar arasında denge arandı — çok uzun promptların bazen kaliteyi düşürdüğü veya modelin 'hiçbir şey değiştirmeme' moduna geçmesine yol açtığı gözlemlendi.</w:t>
      </w:r>
    </w:p>
    <w:p>
      <w:pPr>
        <w:pStyle w:val="Heading2"/>
        <w:spacing w:before="240" w:after="120"/>
        <w:rPr/>
      </w:pPr>
      <w:r>
        <w:rPr/>
        <w:t>4. Sonuçları 10 üzerinden puanlayın</w:t>
      </w:r>
    </w:p>
    <w:tbl>
      <w:tblPr>
        <w:tblW w:w="9000" w:type="dxa"/>
        <w:jc w:val="left"/>
        <w:tblInd w:w="0" w:type="dxa"/>
        <w:tblCellMar>
          <w:top w:w="0" w:type="dxa"/>
          <w:left w:w="108" w:type="dxa"/>
          <w:bottom w:w="0" w:type="dxa"/>
          <w:right w:w="108" w:type="dxa"/>
        </w:tblCellMar>
      </w:tblPr>
      <w:tblGrid>
        <w:gridCol w:w="3000"/>
        <w:gridCol w:w="3000"/>
        <w:gridCol w:w="3000"/>
      </w:tblGrid>
      <w:tr>
        <w:trPr/>
        <w:tc>
          <w:tcPr>
            <w:tcW w:w="3000" w:type="dxa"/>
            <w:tcBorders>
              <w:top w:val="single" w:sz="4" w:space="0" w:color="000000"/>
              <w:left w:val="single" w:sz="4" w:space="0" w:color="000000"/>
              <w:bottom w:val="single" w:sz="4" w:space="0" w:color="000000"/>
              <w:right w:val="single" w:sz="4" w:space="0" w:color="000000"/>
            </w:tcBorders>
            <w:shd w:fill="2F3A56" w:val="clear"/>
          </w:tcPr>
          <w:p>
            <w:pPr>
              <w:pStyle w:val="Normal"/>
              <w:rPr/>
            </w:pPr>
            <w:r>
              <w:rPr>
                <w:b/>
                <w:bCs/>
                <w:color w:val="FFFFFF"/>
              </w:rPr>
              <w:t>Parça</w:t>
            </w:r>
          </w:p>
        </w:tc>
        <w:tc>
          <w:tcPr>
            <w:tcW w:w="3000" w:type="dxa"/>
            <w:tcBorders>
              <w:top w:val="single" w:sz="4" w:space="0" w:color="000000"/>
              <w:left w:val="single" w:sz="4" w:space="0" w:color="000000"/>
              <w:bottom w:val="single" w:sz="4" w:space="0" w:color="000000"/>
              <w:right w:val="single" w:sz="4" w:space="0" w:color="000000"/>
            </w:tcBorders>
            <w:shd w:fill="2F3A56" w:val="clear"/>
          </w:tcPr>
          <w:p>
            <w:pPr>
              <w:pStyle w:val="Normal"/>
              <w:rPr/>
            </w:pPr>
            <w:r>
              <w:rPr>
                <w:b/>
                <w:bCs/>
                <w:color w:val="FFFFFF"/>
              </w:rPr>
              <w:t>Puan (10 üzerinden)</w:t>
            </w:r>
          </w:p>
        </w:tc>
        <w:tc>
          <w:tcPr>
            <w:tcW w:w="3000" w:type="dxa"/>
            <w:tcBorders>
              <w:top w:val="single" w:sz="4" w:space="0" w:color="000000"/>
              <w:left w:val="single" w:sz="4" w:space="0" w:color="000000"/>
              <w:bottom w:val="single" w:sz="4" w:space="0" w:color="000000"/>
              <w:right w:val="single" w:sz="4" w:space="0" w:color="000000"/>
            </w:tcBorders>
            <w:shd w:fill="2F3A56" w:val="clear"/>
          </w:tcPr>
          <w:p>
            <w:pPr>
              <w:pStyle w:val="Normal"/>
              <w:rPr/>
            </w:pPr>
            <w:r>
              <w:rPr>
                <w:b/>
                <w:bCs/>
                <w:color w:val="FFFFFF"/>
              </w:rPr>
              <w:t>Not</w:t>
            </w:r>
          </w:p>
        </w:tc>
      </w:tr>
      <w:tr>
        <w:trPr/>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Rim + Tire</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8/10</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Jant güvenilir değişti; lastik bazı denemelerde atlandı, ek vurgu gerekti.</w:t>
            </w:r>
          </w:p>
        </w:tc>
      </w:tr>
      <w:tr>
        <w:trPr/>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Front Bumper</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4/10</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Mesh detayı, opaklık ve alt splitter entegrasyonu tutarsız; grille/amblem koruma refleksi kırılamadı.</w:t>
            </w:r>
          </w:p>
        </w:tc>
      </w:tr>
      <w:tr>
        <w:trPr/>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Hood</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5/10</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Kısmi vent izi elde edildi ama referansla tam örtüşmedi; sonuç run'dan run'a değişkenlik gösterdi.</w:t>
            </w:r>
          </w:p>
        </w:tc>
      </w:tr>
      <w:tr>
        <w:trPr/>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Rear Spoiler</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Test bekleniyor</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Prompt hazırlandı, uygulama sonucu bu doküman hazırlanırken henüz paylaşılmadı.</w:t>
            </w:r>
          </w:p>
        </w:tc>
      </w:tr>
      <w:tr>
        <w:trPr/>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Exhaust</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Test bekleniyor</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Prompt hazırlandı, uygulama sonucu bu doküman hazırlanırken henüz paylaşılmadı.</w:t>
            </w:r>
          </w:p>
        </w:tc>
      </w:tr>
    </w:tbl>
    <w:p>
      <w:pPr>
        <w:pStyle w:val="Normal"/>
        <w:spacing w:before="0" w:after="160"/>
        <w:rPr/>
      </w:pPr>
      <w:r>
        <w:rPr/>
      </w:r>
    </w:p>
    <w:p>
      <w:pPr>
        <w:pStyle w:val="Heading2"/>
        <w:spacing w:before="240" w:after="120"/>
        <w:rPr/>
      </w:pPr>
      <w:r>
        <w:rPr/>
        <w:t>5. Bu özellik App Store'da yayınlanacak olsaydı, bu görselleri canlıya alır mıydınız? Neden?</w:t>
      </w:r>
    </w:p>
    <w:p>
      <w:pPr>
        <w:pStyle w:val="Normal"/>
        <w:spacing w:before="0" w:after="160"/>
        <w:rPr/>
      </w:pPr>
      <w:r>
        <w:rPr/>
        <w:t>Şu anki hâliyle hayır. Rim+Tire kombinasyonu üretime yakın bir güvenilirlikte, ancak Front Bumper ve Hood için hem tutarlılık (aynı prompt farklı run'larda farklı sonuç verebiliyor) hem de referansa sadakat (özellikle mesh/doku detayı) yeterli seviyede değil. Otomotiv seviyesinde kalite bekleyen bir kullanıcıya bu hâliyle sunmak, güven kaybına yol açar. Üretime geçmeden önce ya (a) direngen parça kategorileri için insan onaylı bir inceleme/yeniden deneme adımı, ya da (b) bu parçalar için farklı bir model/pipeline gerekir.</w:t>
      </w:r>
    </w:p>
    <w:p>
      <w:pPr>
        <w:pStyle w:val="Heading2"/>
        <w:spacing w:before="240" w:after="120"/>
        <w:rPr/>
      </w:pPr>
      <w:r>
        <w:rPr/>
        <w:t>6. Daha kaliteli sonuç almak için bundan sonra hangi yöntemleri denemeyi planlardınız?</w:t>
      </w:r>
    </w:p>
    <w:p>
      <w:pPr>
        <w:pStyle w:val="ListParagraph"/>
        <w:numPr>
          <w:ilvl w:val="0"/>
          <w:numId w:val="1"/>
        </w:numPr>
        <w:spacing w:before="0" w:after="80"/>
        <w:rPr/>
      </w:pPr>
      <w:r>
        <w:rPr/>
        <w:t>Farklı model/servislerin (ChatGPT/GPT-Image, Adobe Firefly Generative Fill, gerçek maskeleme destekleyen araçlar) aynı parça setiyle karşılaştırmalı testi.</w:t>
      </w:r>
    </w:p>
    <w:p>
      <w:pPr>
        <w:pStyle w:val="ListParagraph"/>
        <w:numPr>
          <w:ilvl w:val="0"/>
          <w:numId w:val="1"/>
        </w:numPr>
        <w:spacing w:before="0" w:after="80"/>
        <w:rPr/>
      </w:pPr>
      <w:r>
        <w:rPr/>
        <w:t>İki aşamalı image-to-text → image-to-image pipeline kurup, referans parçanın metinsel tarifini otomatik çıkarma.</w:t>
      </w:r>
    </w:p>
    <w:p>
      <w:pPr>
        <w:pStyle w:val="ListParagraph"/>
        <w:numPr>
          <w:ilvl w:val="0"/>
          <w:numId w:val="1"/>
        </w:numPr>
        <w:spacing w:before="0" w:after="80"/>
        <w:rPr/>
      </w:pPr>
      <w:r>
        <w:rPr/>
        <w:t>Aynı promptu birden fazla kez (farklı seed/run) otomatik çalıştırıp, en iyi sonucu otomatik  seçen bir mekanizma.</w:t>
      </w:r>
    </w:p>
    <w:p>
      <w:pPr>
        <w:pStyle w:val="ListParagraph"/>
        <w:numPr>
          <w:ilvl w:val="0"/>
          <w:numId w:val="1"/>
        </w:numPr>
        <w:spacing w:before="0" w:after="80"/>
        <w:rPr/>
      </w:pPr>
      <w:r>
        <w:rPr/>
        <w:t>Performans, hız ve maliyet karşılaştırması yaparak, parça kategorisine göre (büyük/detaylı vs. küçük/ayrık) farklı model seçimini standart bir mimari kararına dönüştürme.</w:t>
      </w:r>
    </w:p>
    <w:sectPr>
      <w:type w:val="nextPage"/>
      <w:pgSz w:w="11906" w:h="16838"/>
      <w:pgMar w:left="1440" w:right="1440" w:header="0" w:top="1440" w:footer="0" w:bottom="144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a2"/>
    <w:family w:val="roman"/>
    <w:pitch w:val="variable"/>
  </w:font>
  <w:font w:name="Calibri">
    <w:charset w:val="a2"/>
    <w:family w:val="roman"/>
    <w:pitch w:val="variable"/>
  </w:font>
  <w:font w:name="Arial">
    <w:charset w:val="a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31"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lang w:val="en-US" w:eastAsia="zh-CN" w:bidi="hi-IN"/>
      </w:rPr>
    </w:rPrDefault>
    <w:pPrDefault>
      <w:pPr/>
    </w:pPrDefault>
  </w:docDefaults>
  <w:style w:type="paragraph" w:styleId="Normal">
    <w:name w:val="Normal"/>
    <w:qFormat/>
    <w:pPr>
      <w:widowControl/>
      <w:bidi w:val="0"/>
      <w:jc w:val="left"/>
    </w:pPr>
    <w:rPr>
      <w:rFonts w:ascii="Calibri" w:hAnsi="Calibri"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Calibri" w:hAnsi="Calibri" w:eastAsia="NSimSun" w:cs="Arial"/>
      <w:b/>
      <w:bCs/>
      <w:color w:val="auto"/>
      <w:kern w:val="0"/>
      <w:sz w:val="20"/>
      <w:szCs w:val="20"/>
      <w:lang w:val="en-US" w:eastAsia="zh-CN" w:bidi="hi-IN"/>
    </w:rPr>
  </w:style>
  <w:style w:type="paragraph" w:styleId="ListParagraph">
    <w:name w:val="List Paragraph"/>
    <w:qFormat/>
    <w:pPr>
      <w:widowControl/>
      <w:bidi w:val="0"/>
      <w:jc w:val="left"/>
    </w:pPr>
    <w:rPr>
      <w:rFonts w:ascii="Calibri" w:hAnsi="Calibri" w:eastAsia="NSimSun"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Trio_Office/6.2.8.2$Windows_x86 LibreOffice_project/</Application>
  <Pages>4</Pages>
  <Words>1525</Words>
  <Characters>9925</Characters>
  <CharactersWithSpaces>11364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2026-07-19T15:33:18Z</dcterms:created>
  <dc:creator>Un-named</dc:creator>
  <dc:description/>
  <dc:language>en-US</dc:language>
  <cp:lastModifiedBy/>
  <dcterms:modified xsi:type="dcterms:W3CDTF">2026-07-19T18:46:33Z</dcterms:modified>
  <cp:revision>2</cp:revision>
  <dc:subject/>
  <dc:title/>
</cp:coreProperties>
</file>