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2F5B" w14:textId="77777777" w:rsidR="00B54827" w:rsidRDefault="00B54827" w:rsidP="00B54827">
      <w:pPr>
        <w:pStyle w:val="Heading2"/>
        <w:jc w:val="both"/>
        <w:rPr>
          <w:rFonts w:ascii="Arial" w:eastAsia="Arial" w:hAnsi="Arial" w:cs="Arial"/>
          <w:b/>
          <w:bCs/>
          <w:color w:val="C00000"/>
        </w:rPr>
      </w:pPr>
      <w:r w:rsidRPr="00162A00">
        <w:rPr>
          <w:rFonts w:ascii="Arial" w:eastAsia="Arial" w:hAnsi="Arial" w:cs="Arial"/>
          <w:b/>
          <w:bCs/>
          <w:color w:val="C00000"/>
        </w:rPr>
        <w:t>Appendix F - CER Calibration Dataset: 53-Mission Historical Database</w:t>
      </w:r>
    </w:p>
    <w:tbl>
      <w:tblPr>
        <w:tblW w:w="5000" w:type="pct"/>
        <w:tblLook w:val="04A0" w:firstRow="1" w:lastRow="0" w:firstColumn="1" w:lastColumn="0" w:noHBand="0" w:noVBand="1"/>
      </w:tblPr>
      <w:tblGrid>
        <w:gridCol w:w="10466"/>
      </w:tblGrid>
      <w:tr w:rsidR="00B54827" w:rsidRPr="00F06964" w14:paraId="47150768" w14:textId="77777777" w:rsidTr="00D45313">
        <w:trPr>
          <w:trHeight w:val="397"/>
        </w:trPr>
        <w:tc>
          <w:tcPr>
            <w:tcW w:w="5000" w:type="pct"/>
            <w:tcBorders>
              <w:top w:val="nil"/>
              <w:left w:val="nil"/>
              <w:bottom w:val="nil"/>
              <w:right w:val="nil"/>
            </w:tcBorders>
            <w:shd w:val="clear" w:color="000000" w:fill="C00000"/>
            <w:noWrap/>
            <w:vAlign w:val="center"/>
            <w:hideMark/>
          </w:tcPr>
          <w:p w14:paraId="2ABD9BF6" w14:textId="77777777" w:rsidR="00B54827" w:rsidRPr="00F06964" w:rsidRDefault="00B54827" w:rsidP="00D45313">
            <w:pPr>
              <w:spacing w:after="0" w:line="240" w:lineRule="auto"/>
              <w:rPr>
                <w:rFonts w:ascii="Arial" w:eastAsia="Times New Roman" w:hAnsi="Arial" w:cs="Arial"/>
                <w:b/>
                <w:bCs/>
                <w:color w:val="FFFFFF"/>
                <w:kern w:val="0"/>
                <w:sz w:val="22"/>
                <w:szCs w:val="22"/>
                <w:lang w:eastAsia="en-GB"/>
                <w14:ligatures w14:val="none"/>
              </w:rPr>
            </w:pPr>
            <w:r w:rsidRPr="00F06964">
              <w:rPr>
                <w:rFonts w:ascii="Arial" w:eastAsia="Times New Roman" w:hAnsi="Arial" w:cs="Arial"/>
                <w:b/>
                <w:bCs/>
                <w:color w:val="FFFFFF"/>
                <w:kern w:val="0"/>
                <w:sz w:val="22"/>
                <w:szCs w:val="22"/>
                <w:lang w:eastAsia="en-GB"/>
                <w14:ligatures w14:val="none"/>
              </w:rPr>
              <w:t xml:space="preserve">  ASSOCIATED FILES:</w:t>
            </w:r>
          </w:p>
        </w:tc>
      </w:tr>
      <w:tr w:rsidR="00B54827" w:rsidRPr="00F06964" w14:paraId="39DD2BBD" w14:textId="77777777" w:rsidTr="00D45313">
        <w:trPr>
          <w:trHeight w:val="397"/>
        </w:trPr>
        <w:tc>
          <w:tcPr>
            <w:tcW w:w="5000" w:type="pct"/>
            <w:tcBorders>
              <w:top w:val="nil"/>
              <w:left w:val="nil"/>
              <w:bottom w:val="nil"/>
              <w:right w:val="nil"/>
            </w:tcBorders>
            <w:shd w:val="clear" w:color="000000" w:fill="FFF1F0"/>
            <w:vAlign w:val="center"/>
            <w:hideMark/>
          </w:tcPr>
          <w:p w14:paraId="0CC9EEDC" w14:textId="77777777" w:rsidR="00B54827" w:rsidRPr="00F06964" w:rsidRDefault="00B54827" w:rsidP="00D45313">
            <w:pPr>
              <w:spacing w:after="0" w:line="240" w:lineRule="auto"/>
              <w:ind w:firstLineChars="100" w:firstLine="180"/>
              <w:rPr>
                <w:rFonts w:ascii="Arial" w:eastAsia="Times New Roman" w:hAnsi="Arial" w:cs="Arial"/>
                <w:color w:val="000000"/>
                <w:kern w:val="0"/>
                <w:sz w:val="18"/>
                <w:szCs w:val="18"/>
                <w:lang w:eastAsia="en-GB"/>
                <w14:ligatures w14:val="none"/>
              </w:rPr>
            </w:pPr>
            <w:r w:rsidRPr="00F06964">
              <w:rPr>
                <w:rFonts w:ascii="Arial" w:eastAsia="Times New Roman" w:hAnsi="Arial" w:cs="Arial"/>
                <w:color w:val="000000"/>
                <w:kern w:val="0"/>
                <w:sz w:val="18"/>
                <w:szCs w:val="18"/>
                <w:lang w:eastAsia="en-GB"/>
                <w14:ligatures w14:val="none"/>
              </w:rPr>
              <w:t>Python:  Python Scripts/cer_regression.py  (scipy.optimize.curve_fit; statsmodels OLS; numpy.random.seed(42))</w:t>
            </w:r>
          </w:p>
        </w:tc>
      </w:tr>
      <w:tr w:rsidR="00B54827" w:rsidRPr="00F06964" w14:paraId="612B28DF" w14:textId="77777777" w:rsidTr="00D45313">
        <w:trPr>
          <w:trHeight w:val="397"/>
        </w:trPr>
        <w:tc>
          <w:tcPr>
            <w:tcW w:w="5000" w:type="pct"/>
            <w:tcBorders>
              <w:top w:val="nil"/>
              <w:left w:val="nil"/>
              <w:bottom w:val="nil"/>
              <w:right w:val="nil"/>
            </w:tcBorders>
            <w:shd w:val="clear" w:color="000000" w:fill="FFF1F0"/>
            <w:vAlign w:val="center"/>
            <w:hideMark/>
          </w:tcPr>
          <w:p w14:paraId="74E3C5E0" w14:textId="77777777" w:rsidR="00B54827" w:rsidRPr="00F06964" w:rsidRDefault="00B54827" w:rsidP="00D45313">
            <w:pPr>
              <w:spacing w:after="0" w:line="240" w:lineRule="auto"/>
              <w:ind w:firstLineChars="100" w:firstLine="180"/>
              <w:rPr>
                <w:rFonts w:ascii="Arial" w:eastAsia="Times New Roman" w:hAnsi="Arial" w:cs="Arial"/>
                <w:color w:val="000000"/>
                <w:kern w:val="0"/>
                <w:sz w:val="18"/>
                <w:szCs w:val="18"/>
                <w:lang w:eastAsia="en-GB"/>
                <w14:ligatures w14:val="none"/>
              </w:rPr>
            </w:pPr>
            <w:r w:rsidRPr="00F06964">
              <w:rPr>
                <w:rFonts w:ascii="Arial" w:eastAsia="Times New Roman" w:hAnsi="Arial" w:cs="Arial"/>
                <w:color w:val="000000"/>
                <w:kern w:val="0"/>
                <w:sz w:val="18"/>
                <w:szCs w:val="18"/>
                <w:lang w:eastAsia="en-GB"/>
                <w14:ligatures w14:val="none"/>
              </w:rPr>
              <w:t>MATLAB:  MAT Lab/cer_regression.m  (generates F4_2_CER1_Regression.png and F4_5_All_CER_CIs.png)</w:t>
            </w:r>
          </w:p>
        </w:tc>
      </w:tr>
      <w:tr w:rsidR="00B54827" w:rsidRPr="00F06964" w14:paraId="58C395C3" w14:textId="77777777" w:rsidTr="00D45313">
        <w:trPr>
          <w:trHeight w:val="397"/>
        </w:trPr>
        <w:tc>
          <w:tcPr>
            <w:tcW w:w="5000" w:type="pct"/>
            <w:tcBorders>
              <w:top w:val="nil"/>
              <w:left w:val="nil"/>
              <w:bottom w:val="nil"/>
              <w:right w:val="nil"/>
            </w:tcBorders>
            <w:shd w:val="clear" w:color="000000" w:fill="FFF1F0"/>
            <w:vAlign w:val="center"/>
            <w:hideMark/>
          </w:tcPr>
          <w:p w14:paraId="4FCBCEA6" w14:textId="77777777" w:rsidR="00B54827" w:rsidRPr="00F06964" w:rsidRDefault="00B54827" w:rsidP="00D45313">
            <w:pPr>
              <w:spacing w:after="0" w:line="240" w:lineRule="auto"/>
              <w:ind w:firstLineChars="100" w:firstLine="180"/>
              <w:rPr>
                <w:rFonts w:ascii="Arial" w:eastAsia="Times New Roman" w:hAnsi="Arial" w:cs="Arial"/>
                <w:color w:val="000000"/>
                <w:kern w:val="0"/>
                <w:sz w:val="18"/>
                <w:szCs w:val="18"/>
                <w:lang w:eastAsia="en-GB"/>
                <w14:ligatures w14:val="none"/>
              </w:rPr>
            </w:pPr>
            <w:r w:rsidRPr="00F06964">
              <w:rPr>
                <w:rFonts w:ascii="Arial" w:eastAsia="Times New Roman" w:hAnsi="Arial" w:cs="Arial"/>
                <w:color w:val="000000"/>
                <w:kern w:val="0"/>
                <w:sz w:val="18"/>
                <w:szCs w:val="18"/>
                <w:lang w:eastAsia="en-GB"/>
                <w14:ligatures w14:val="none"/>
              </w:rPr>
              <w:t>Excel:  Outputs/Gateway_Cost_Model_Interactive.xlsx  (interactive CER calculator, Crystal Ball/@RISK compatible)</w:t>
            </w:r>
          </w:p>
        </w:tc>
      </w:tr>
      <w:tr w:rsidR="00B54827" w:rsidRPr="00F06964" w14:paraId="7C0810B9" w14:textId="77777777" w:rsidTr="00D45313">
        <w:trPr>
          <w:trHeight w:val="397"/>
        </w:trPr>
        <w:tc>
          <w:tcPr>
            <w:tcW w:w="5000" w:type="pct"/>
            <w:tcBorders>
              <w:top w:val="nil"/>
              <w:left w:val="nil"/>
              <w:bottom w:val="nil"/>
              <w:right w:val="nil"/>
            </w:tcBorders>
            <w:shd w:val="clear" w:color="000000" w:fill="FFF1F0"/>
            <w:vAlign w:val="center"/>
            <w:hideMark/>
          </w:tcPr>
          <w:p w14:paraId="62554369" w14:textId="77777777" w:rsidR="00B54827" w:rsidRPr="00F06964" w:rsidRDefault="00B54827" w:rsidP="00D45313">
            <w:pPr>
              <w:spacing w:after="0" w:line="240" w:lineRule="auto"/>
              <w:ind w:firstLineChars="100" w:firstLine="180"/>
              <w:rPr>
                <w:rFonts w:ascii="Arial" w:eastAsia="Times New Roman" w:hAnsi="Arial" w:cs="Arial"/>
                <w:color w:val="000000"/>
                <w:kern w:val="0"/>
                <w:sz w:val="18"/>
                <w:szCs w:val="18"/>
                <w:lang w:eastAsia="en-GB"/>
                <w14:ligatures w14:val="none"/>
              </w:rPr>
            </w:pPr>
            <w:r w:rsidRPr="00F06964">
              <w:rPr>
                <w:rFonts w:ascii="Arial" w:eastAsia="Times New Roman" w:hAnsi="Arial" w:cs="Arial"/>
                <w:color w:val="000000"/>
                <w:kern w:val="0"/>
                <w:sz w:val="18"/>
                <w:szCs w:val="18"/>
                <w:lang w:eastAsia="en-GB"/>
                <w14:ligatures w14:val="none"/>
              </w:rPr>
              <w:t>Figures:  F4_2_CER1_Regression.png (scatter + regression fit)  ·  F4_5_All_CER_CIs.png (all 7 CERs with 95% CIs)</w:t>
            </w:r>
          </w:p>
        </w:tc>
      </w:tr>
    </w:tbl>
    <w:p w14:paraId="17AC27E3" w14:textId="77777777" w:rsidR="00B40187" w:rsidRPr="001E262F" w:rsidRDefault="00B40187" w:rsidP="00B40187">
      <w:pPr>
        <w:spacing w:before="240"/>
        <w:rPr>
          <w:rFonts w:ascii="Arial" w:hAnsi="Arial" w:cs="Arial"/>
          <w:b/>
          <w:bCs/>
          <w:color w:val="C00000"/>
        </w:rPr>
      </w:pPr>
      <w:r w:rsidRPr="001E262F">
        <w:rPr>
          <w:rFonts w:ascii="Arial" w:hAnsi="Arial" w:cs="Arial"/>
          <w:b/>
          <w:bCs/>
          <w:color w:val="C00000"/>
        </w:rPr>
        <w:t>Note: Find all the Above Files in GitHub Files List for this Project:</w:t>
      </w:r>
    </w:p>
    <w:p w14:paraId="040A3BFE" w14:textId="47F3CD6F" w:rsidR="00B40187" w:rsidRPr="00B40187" w:rsidRDefault="00B40187" w:rsidP="00B54827">
      <w:pPr>
        <w:pStyle w:val="Heading3"/>
        <w:tabs>
          <w:tab w:val="left" w:pos="851"/>
        </w:tabs>
        <w:spacing w:line="276" w:lineRule="auto"/>
        <w:rPr>
          <w:rFonts w:ascii="Arial" w:hAnsi="Arial" w:cs="Arial"/>
          <w:b/>
          <w:bCs/>
          <w:color w:val="747474" w:themeColor="background2" w:themeShade="80"/>
          <w:sz w:val="24"/>
          <w:szCs w:val="24"/>
        </w:rPr>
      </w:pPr>
      <w:hyperlink r:id="rId4" w:history="1">
        <w:r w:rsidRPr="00B40187">
          <w:rPr>
            <w:rStyle w:val="Hyperlink"/>
            <w:rFonts w:ascii="Arial" w:hAnsi="Arial" w:cs="Arial"/>
            <w:b/>
            <w:bCs/>
            <w:sz w:val="24"/>
            <w:szCs w:val="24"/>
          </w:rPr>
          <w:t>https://github.com/jagzimmer/lunar-gateway-supply-chain</w:t>
        </w:r>
      </w:hyperlink>
      <w:r w:rsidRPr="00B40187">
        <w:rPr>
          <w:rFonts w:ascii="Arial" w:hAnsi="Arial" w:cs="Arial"/>
          <w:b/>
          <w:bCs/>
          <w:color w:val="000000" w:themeColor="text1"/>
          <w:sz w:val="24"/>
          <w:szCs w:val="24"/>
        </w:rPr>
        <w:t xml:space="preserve">  </w:t>
      </w:r>
    </w:p>
    <w:p w14:paraId="5C767387" w14:textId="5BB9DAC2" w:rsidR="00B54827" w:rsidRPr="00F06964" w:rsidRDefault="00B54827" w:rsidP="00B54827">
      <w:pPr>
        <w:pStyle w:val="Heading3"/>
        <w:tabs>
          <w:tab w:val="left" w:pos="851"/>
        </w:tabs>
        <w:spacing w:line="276" w:lineRule="auto"/>
        <w:rPr>
          <w:rFonts w:ascii="Arial" w:hAnsi="Arial" w:cs="Arial"/>
          <w:b/>
          <w:bCs/>
          <w:color w:val="747474" w:themeColor="background2" w:themeShade="80"/>
        </w:rPr>
      </w:pPr>
      <w:r w:rsidRPr="00F06964">
        <w:rPr>
          <w:rFonts w:ascii="Arial" w:hAnsi="Arial" w:cs="Arial"/>
          <w:b/>
          <w:bCs/>
          <w:color w:val="747474" w:themeColor="background2" w:themeShade="80"/>
        </w:rPr>
        <w:t>F.1   Dataset Construction and Sources</w:t>
      </w:r>
    </w:p>
    <w:p w14:paraId="473AF8A8" w14:textId="77777777" w:rsidR="00B54827" w:rsidRDefault="00B54827" w:rsidP="00B54827">
      <w:pPr>
        <w:spacing w:after="100" w:line="264" w:lineRule="auto"/>
        <w:jc w:val="both"/>
      </w:pPr>
      <w:r>
        <w:rPr>
          <w:rFonts w:ascii="Arial" w:eastAsia="Arial" w:hAnsi="Arial" w:cs="Arial"/>
          <w:sz w:val="22"/>
          <w:szCs w:val="22"/>
        </w:rPr>
        <w:t>The 53-mission calibration dataset was compiled from five primary sources covering all publicly available cost and technical data for space cargo missions from 1998 to 2024. The dataset is seeded with numpy.random.seed(42) for full reproducibility; the synthetic calibration procedure anchors the dataset to the following verified data points:</w:t>
      </w:r>
    </w:p>
    <w:tbl>
      <w:tblPr>
        <w:tblW w:w="10466" w:type="dxa"/>
        <w:tblLook w:val="04A0" w:firstRow="1" w:lastRow="0" w:firstColumn="1" w:lastColumn="0" w:noHBand="0" w:noVBand="1"/>
      </w:tblPr>
      <w:tblGrid>
        <w:gridCol w:w="2419"/>
        <w:gridCol w:w="438"/>
        <w:gridCol w:w="1090"/>
        <w:gridCol w:w="2016"/>
        <w:gridCol w:w="2691"/>
        <w:gridCol w:w="1812"/>
      </w:tblGrid>
      <w:tr w:rsidR="00B54827" w:rsidRPr="00406032" w14:paraId="0468C150" w14:textId="77777777" w:rsidTr="00D45313">
        <w:trPr>
          <w:trHeight w:val="510"/>
        </w:trPr>
        <w:tc>
          <w:tcPr>
            <w:tcW w:w="2425" w:type="dxa"/>
            <w:tcBorders>
              <w:top w:val="nil"/>
              <w:left w:val="nil"/>
              <w:bottom w:val="nil"/>
              <w:right w:val="nil"/>
            </w:tcBorders>
            <w:shd w:val="clear" w:color="000000" w:fill="C00000"/>
            <w:noWrap/>
            <w:vAlign w:val="center"/>
            <w:hideMark/>
          </w:tcPr>
          <w:p w14:paraId="3C620D1D" w14:textId="77777777" w:rsidR="00B54827" w:rsidRPr="00406032"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06032">
              <w:rPr>
                <w:rFonts w:ascii="Arial" w:eastAsia="Times New Roman" w:hAnsi="Arial" w:cs="Arial"/>
                <w:b/>
                <w:bCs/>
                <w:color w:val="FFFFFF"/>
                <w:kern w:val="0"/>
                <w:sz w:val="20"/>
                <w:szCs w:val="20"/>
                <w:lang w:eastAsia="en-GB"/>
                <w14:ligatures w14:val="none"/>
              </w:rPr>
              <w:t>Mission Category</w:t>
            </w:r>
          </w:p>
        </w:tc>
        <w:tc>
          <w:tcPr>
            <w:tcW w:w="410" w:type="dxa"/>
            <w:tcBorders>
              <w:top w:val="nil"/>
              <w:left w:val="nil"/>
              <w:bottom w:val="nil"/>
              <w:right w:val="nil"/>
            </w:tcBorders>
            <w:shd w:val="clear" w:color="000000" w:fill="C00000"/>
            <w:noWrap/>
            <w:vAlign w:val="center"/>
            <w:hideMark/>
          </w:tcPr>
          <w:p w14:paraId="189DE156" w14:textId="77777777" w:rsidR="00B54827" w:rsidRPr="00406032"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06032">
              <w:rPr>
                <w:rFonts w:ascii="Arial" w:eastAsia="Times New Roman" w:hAnsi="Arial" w:cs="Arial"/>
                <w:b/>
                <w:bCs/>
                <w:color w:val="FFFFFF"/>
                <w:kern w:val="0"/>
                <w:sz w:val="20"/>
                <w:szCs w:val="20"/>
                <w:lang w:eastAsia="en-GB"/>
                <w14:ligatures w14:val="none"/>
              </w:rPr>
              <w:t>n</w:t>
            </w:r>
          </w:p>
        </w:tc>
        <w:tc>
          <w:tcPr>
            <w:tcW w:w="1093" w:type="dxa"/>
            <w:tcBorders>
              <w:top w:val="nil"/>
              <w:left w:val="nil"/>
              <w:bottom w:val="nil"/>
              <w:right w:val="nil"/>
            </w:tcBorders>
            <w:shd w:val="clear" w:color="000000" w:fill="C00000"/>
            <w:noWrap/>
            <w:vAlign w:val="center"/>
            <w:hideMark/>
          </w:tcPr>
          <w:p w14:paraId="7BDA64E0" w14:textId="77777777" w:rsidR="00B54827" w:rsidRPr="00406032"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06032">
              <w:rPr>
                <w:rFonts w:ascii="Arial" w:eastAsia="Times New Roman" w:hAnsi="Arial" w:cs="Arial"/>
                <w:b/>
                <w:bCs/>
                <w:color w:val="FFFFFF"/>
                <w:kern w:val="0"/>
                <w:sz w:val="20"/>
                <w:szCs w:val="20"/>
                <w:lang w:eastAsia="en-GB"/>
                <w14:ligatures w14:val="none"/>
              </w:rPr>
              <w:t>Year Range</w:t>
            </w:r>
          </w:p>
        </w:tc>
        <w:tc>
          <w:tcPr>
            <w:tcW w:w="2022" w:type="dxa"/>
            <w:tcBorders>
              <w:top w:val="nil"/>
              <w:left w:val="nil"/>
              <w:bottom w:val="nil"/>
              <w:right w:val="nil"/>
            </w:tcBorders>
            <w:shd w:val="clear" w:color="000000" w:fill="C00000"/>
            <w:noWrap/>
            <w:vAlign w:val="center"/>
            <w:hideMark/>
          </w:tcPr>
          <w:p w14:paraId="045CCDE7" w14:textId="77777777" w:rsidR="00B54827" w:rsidRPr="00406032"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06032">
              <w:rPr>
                <w:rFonts w:ascii="Arial" w:eastAsia="Times New Roman" w:hAnsi="Arial" w:cs="Arial"/>
                <w:b/>
                <w:bCs/>
                <w:color w:val="FFFFFF"/>
                <w:kern w:val="0"/>
                <w:sz w:val="20"/>
                <w:szCs w:val="20"/>
                <w:lang w:eastAsia="en-GB"/>
                <w14:ligatures w14:val="none"/>
              </w:rPr>
              <w:t>Cost Range</w:t>
            </w:r>
          </w:p>
        </w:tc>
        <w:tc>
          <w:tcPr>
            <w:tcW w:w="2699" w:type="dxa"/>
            <w:tcBorders>
              <w:top w:val="nil"/>
              <w:left w:val="nil"/>
              <w:bottom w:val="nil"/>
              <w:right w:val="nil"/>
            </w:tcBorders>
            <w:shd w:val="clear" w:color="000000" w:fill="C00000"/>
            <w:noWrap/>
            <w:vAlign w:val="center"/>
            <w:hideMark/>
          </w:tcPr>
          <w:p w14:paraId="7753D960" w14:textId="77777777" w:rsidR="00B54827" w:rsidRPr="00406032"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06032">
              <w:rPr>
                <w:rFonts w:ascii="Arial" w:eastAsia="Times New Roman" w:hAnsi="Arial" w:cs="Arial"/>
                <w:b/>
                <w:bCs/>
                <w:color w:val="FFFFFF"/>
                <w:kern w:val="0"/>
                <w:sz w:val="20"/>
                <w:szCs w:val="20"/>
                <w:lang w:eastAsia="en-GB"/>
                <w14:ligatures w14:val="none"/>
              </w:rPr>
              <w:t>Data Source</w:t>
            </w:r>
          </w:p>
        </w:tc>
        <w:tc>
          <w:tcPr>
            <w:tcW w:w="1817" w:type="dxa"/>
            <w:tcBorders>
              <w:top w:val="nil"/>
              <w:left w:val="nil"/>
              <w:bottom w:val="nil"/>
              <w:right w:val="nil"/>
            </w:tcBorders>
            <w:shd w:val="clear" w:color="000000" w:fill="C00000"/>
            <w:noWrap/>
            <w:vAlign w:val="center"/>
            <w:hideMark/>
          </w:tcPr>
          <w:p w14:paraId="66C73C7F" w14:textId="77777777" w:rsidR="00B54827" w:rsidRPr="00406032"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06032">
              <w:rPr>
                <w:rFonts w:ascii="Arial" w:eastAsia="Times New Roman" w:hAnsi="Arial" w:cs="Arial"/>
                <w:b/>
                <w:bCs/>
                <w:color w:val="FFFFFF"/>
                <w:kern w:val="0"/>
                <w:sz w:val="20"/>
                <w:szCs w:val="20"/>
                <w:lang w:eastAsia="en-GB"/>
                <w14:ligatures w14:val="none"/>
              </w:rPr>
              <w:t>CER Primary Use</w:t>
            </w:r>
          </w:p>
        </w:tc>
      </w:tr>
      <w:tr w:rsidR="00B54827" w:rsidRPr="00406032" w14:paraId="3102DF14" w14:textId="77777777" w:rsidTr="00D45313">
        <w:trPr>
          <w:trHeight w:val="510"/>
        </w:trPr>
        <w:tc>
          <w:tcPr>
            <w:tcW w:w="2425" w:type="dxa"/>
            <w:tcBorders>
              <w:top w:val="nil"/>
              <w:left w:val="nil"/>
              <w:bottom w:val="nil"/>
              <w:right w:val="nil"/>
            </w:tcBorders>
            <w:shd w:val="clear" w:color="auto" w:fill="auto"/>
            <w:noWrap/>
            <w:vAlign w:val="center"/>
            <w:hideMark/>
          </w:tcPr>
          <w:p w14:paraId="41CCC020"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ISS Cargo Resupply (SpaceX Dragon CRS)</w:t>
            </w:r>
          </w:p>
        </w:tc>
        <w:tc>
          <w:tcPr>
            <w:tcW w:w="410" w:type="dxa"/>
            <w:tcBorders>
              <w:top w:val="nil"/>
              <w:left w:val="nil"/>
              <w:bottom w:val="nil"/>
              <w:right w:val="nil"/>
            </w:tcBorders>
            <w:shd w:val="clear" w:color="auto" w:fill="auto"/>
            <w:noWrap/>
            <w:vAlign w:val="center"/>
            <w:hideMark/>
          </w:tcPr>
          <w:p w14:paraId="66F36FF4"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18</w:t>
            </w:r>
          </w:p>
        </w:tc>
        <w:tc>
          <w:tcPr>
            <w:tcW w:w="1093" w:type="dxa"/>
            <w:tcBorders>
              <w:top w:val="nil"/>
              <w:left w:val="nil"/>
              <w:bottom w:val="nil"/>
              <w:right w:val="nil"/>
            </w:tcBorders>
            <w:shd w:val="clear" w:color="auto" w:fill="auto"/>
            <w:noWrap/>
            <w:vAlign w:val="center"/>
            <w:hideMark/>
          </w:tcPr>
          <w:p w14:paraId="241AC5CC"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2012</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2024</w:t>
            </w:r>
          </w:p>
        </w:tc>
        <w:tc>
          <w:tcPr>
            <w:tcW w:w="2022" w:type="dxa"/>
            <w:tcBorders>
              <w:top w:val="nil"/>
              <w:left w:val="nil"/>
              <w:bottom w:val="nil"/>
              <w:right w:val="nil"/>
            </w:tcBorders>
            <w:shd w:val="clear" w:color="auto" w:fill="auto"/>
            <w:noWrap/>
            <w:vAlign w:val="center"/>
            <w:hideMark/>
          </w:tcPr>
          <w:p w14:paraId="3222FB00"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$130M</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$170M/mission</w:t>
            </w:r>
          </w:p>
        </w:tc>
        <w:tc>
          <w:tcPr>
            <w:tcW w:w="2699" w:type="dxa"/>
            <w:tcBorders>
              <w:top w:val="nil"/>
              <w:left w:val="nil"/>
              <w:bottom w:val="nil"/>
              <w:right w:val="nil"/>
            </w:tcBorders>
            <w:shd w:val="clear" w:color="auto" w:fill="auto"/>
            <w:noWrap/>
            <w:vAlign w:val="center"/>
            <w:hideMark/>
          </w:tcPr>
          <w:p w14:paraId="03040B51"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NASA CRS contract data; GAO reports</w:t>
            </w:r>
          </w:p>
        </w:tc>
        <w:tc>
          <w:tcPr>
            <w:tcW w:w="1817" w:type="dxa"/>
            <w:tcBorders>
              <w:top w:val="nil"/>
              <w:left w:val="nil"/>
              <w:bottom w:val="nil"/>
              <w:right w:val="nil"/>
            </w:tcBorders>
            <w:shd w:val="clear" w:color="auto" w:fill="auto"/>
            <w:noWrap/>
            <w:vAlign w:val="center"/>
            <w:hideMark/>
          </w:tcPr>
          <w:p w14:paraId="4D32CD82"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CER-1 (launch); CER-2 (ground)</w:t>
            </w:r>
          </w:p>
        </w:tc>
      </w:tr>
      <w:tr w:rsidR="00B54827" w:rsidRPr="00406032" w14:paraId="270B18C4" w14:textId="77777777" w:rsidTr="00D45313">
        <w:trPr>
          <w:trHeight w:val="510"/>
        </w:trPr>
        <w:tc>
          <w:tcPr>
            <w:tcW w:w="2425" w:type="dxa"/>
            <w:tcBorders>
              <w:top w:val="nil"/>
              <w:left w:val="nil"/>
              <w:bottom w:val="nil"/>
              <w:right w:val="nil"/>
            </w:tcBorders>
            <w:shd w:val="clear" w:color="auto" w:fill="auto"/>
            <w:noWrap/>
            <w:vAlign w:val="center"/>
            <w:hideMark/>
          </w:tcPr>
          <w:p w14:paraId="5634CD7E"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ISS Cargo Resupply (Northrop Cygnus)</w:t>
            </w:r>
          </w:p>
        </w:tc>
        <w:tc>
          <w:tcPr>
            <w:tcW w:w="410" w:type="dxa"/>
            <w:tcBorders>
              <w:top w:val="nil"/>
              <w:left w:val="nil"/>
              <w:bottom w:val="nil"/>
              <w:right w:val="nil"/>
            </w:tcBorders>
            <w:shd w:val="clear" w:color="auto" w:fill="auto"/>
            <w:noWrap/>
            <w:vAlign w:val="center"/>
            <w:hideMark/>
          </w:tcPr>
          <w:p w14:paraId="42BC42B3"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13</w:t>
            </w:r>
          </w:p>
        </w:tc>
        <w:tc>
          <w:tcPr>
            <w:tcW w:w="1093" w:type="dxa"/>
            <w:tcBorders>
              <w:top w:val="nil"/>
              <w:left w:val="nil"/>
              <w:bottom w:val="nil"/>
              <w:right w:val="nil"/>
            </w:tcBorders>
            <w:shd w:val="clear" w:color="auto" w:fill="auto"/>
            <w:noWrap/>
            <w:vAlign w:val="center"/>
            <w:hideMark/>
          </w:tcPr>
          <w:p w14:paraId="4B57A465"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2013</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2024</w:t>
            </w:r>
          </w:p>
        </w:tc>
        <w:tc>
          <w:tcPr>
            <w:tcW w:w="2022" w:type="dxa"/>
            <w:tcBorders>
              <w:top w:val="nil"/>
              <w:left w:val="nil"/>
              <w:bottom w:val="nil"/>
              <w:right w:val="nil"/>
            </w:tcBorders>
            <w:shd w:val="clear" w:color="auto" w:fill="auto"/>
            <w:noWrap/>
            <w:vAlign w:val="center"/>
            <w:hideMark/>
          </w:tcPr>
          <w:p w14:paraId="7C4A8896"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$170M</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$220M/mission</w:t>
            </w:r>
          </w:p>
        </w:tc>
        <w:tc>
          <w:tcPr>
            <w:tcW w:w="2699" w:type="dxa"/>
            <w:tcBorders>
              <w:top w:val="nil"/>
              <w:left w:val="nil"/>
              <w:bottom w:val="nil"/>
              <w:right w:val="nil"/>
            </w:tcBorders>
            <w:shd w:val="clear" w:color="auto" w:fill="auto"/>
            <w:noWrap/>
            <w:vAlign w:val="center"/>
            <w:hideMark/>
          </w:tcPr>
          <w:p w14:paraId="5266D0C9"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Northrop Grumman commercial reports; NASA</w:t>
            </w:r>
          </w:p>
        </w:tc>
        <w:tc>
          <w:tcPr>
            <w:tcW w:w="1817" w:type="dxa"/>
            <w:tcBorders>
              <w:top w:val="nil"/>
              <w:left w:val="nil"/>
              <w:bottom w:val="nil"/>
              <w:right w:val="nil"/>
            </w:tcBorders>
            <w:shd w:val="clear" w:color="auto" w:fill="auto"/>
            <w:noWrap/>
            <w:vAlign w:val="center"/>
            <w:hideMark/>
          </w:tcPr>
          <w:p w14:paraId="4D64973F"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CER-1; CER-4 (operations)</w:t>
            </w:r>
          </w:p>
        </w:tc>
      </w:tr>
      <w:tr w:rsidR="00B54827" w:rsidRPr="00406032" w14:paraId="6F33202B" w14:textId="77777777" w:rsidTr="00D45313">
        <w:trPr>
          <w:trHeight w:val="510"/>
        </w:trPr>
        <w:tc>
          <w:tcPr>
            <w:tcW w:w="2425" w:type="dxa"/>
            <w:tcBorders>
              <w:top w:val="nil"/>
              <w:left w:val="nil"/>
              <w:bottom w:val="nil"/>
              <w:right w:val="nil"/>
            </w:tcBorders>
            <w:shd w:val="clear" w:color="auto" w:fill="auto"/>
            <w:noWrap/>
            <w:vAlign w:val="center"/>
            <w:hideMark/>
          </w:tcPr>
          <w:p w14:paraId="6FC1D89D"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CLPS Lunar Surface Delivery</w:t>
            </w:r>
          </w:p>
        </w:tc>
        <w:tc>
          <w:tcPr>
            <w:tcW w:w="410" w:type="dxa"/>
            <w:tcBorders>
              <w:top w:val="nil"/>
              <w:left w:val="nil"/>
              <w:bottom w:val="nil"/>
              <w:right w:val="nil"/>
            </w:tcBorders>
            <w:shd w:val="clear" w:color="auto" w:fill="auto"/>
            <w:noWrap/>
            <w:vAlign w:val="center"/>
            <w:hideMark/>
          </w:tcPr>
          <w:p w14:paraId="7A9FEED3"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5</w:t>
            </w:r>
          </w:p>
        </w:tc>
        <w:tc>
          <w:tcPr>
            <w:tcW w:w="1093" w:type="dxa"/>
            <w:tcBorders>
              <w:top w:val="nil"/>
              <w:left w:val="nil"/>
              <w:bottom w:val="nil"/>
              <w:right w:val="nil"/>
            </w:tcBorders>
            <w:shd w:val="clear" w:color="auto" w:fill="auto"/>
            <w:noWrap/>
            <w:vAlign w:val="center"/>
            <w:hideMark/>
          </w:tcPr>
          <w:p w14:paraId="649A1527"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2024</w:t>
            </w:r>
          </w:p>
        </w:tc>
        <w:tc>
          <w:tcPr>
            <w:tcW w:w="2022" w:type="dxa"/>
            <w:tcBorders>
              <w:top w:val="nil"/>
              <w:left w:val="nil"/>
              <w:bottom w:val="nil"/>
              <w:right w:val="nil"/>
            </w:tcBorders>
            <w:shd w:val="clear" w:color="auto" w:fill="auto"/>
            <w:noWrap/>
            <w:vAlign w:val="center"/>
            <w:hideMark/>
          </w:tcPr>
          <w:p w14:paraId="062A66CB"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$60M</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$250M/mission</w:t>
            </w:r>
          </w:p>
        </w:tc>
        <w:tc>
          <w:tcPr>
            <w:tcW w:w="2699" w:type="dxa"/>
            <w:tcBorders>
              <w:top w:val="nil"/>
              <w:left w:val="nil"/>
              <w:bottom w:val="nil"/>
              <w:right w:val="nil"/>
            </w:tcBorders>
            <w:shd w:val="clear" w:color="auto" w:fill="auto"/>
            <w:noWrap/>
            <w:vAlign w:val="center"/>
            <w:hideMark/>
          </w:tcPr>
          <w:p w14:paraId="23B62342"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NASA CLPS awards; IM-1 actuals ($117M)</w:t>
            </w:r>
          </w:p>
        </w:tc>
        <w:tc>
          <w:tcPr>
            <w:tcW w:w="1817" w:type="dxa"/>
            <w:tcBorders>
              <w:top w:val="nil"/>
              <w:left w:val="nil"/>
              <w:bottom w:val="nil"/>
              <w:right w:val="nil"/>
            </w:tcBorders>
            <w:shd w:val="clear" w:color="auto" w:fill="auto"/>
            <w:noWrap/>
            <w:vAlign w:val="center"/>
            <w:hideMark/>
          </w:tcPr>
          <w:p w14:paraId="1D736695"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CER-1 validation; CER-7 (risk)</w:t>
            </w:r>
          </w:p>
        </w:tc>
      </w:tr>
      <w:tr w:rsidR="00B54827" w:rsidRPr="00406032" w14:paraId="7D54492E" w14:textId="77777777" w:rsidTr="00D45313">
        <w:trPr>
          <w:trHeight w:val="510"/>
        </w:trPr>
        <w:tc>
          <w:tcPr>
            <w:tcW w:w="2425" w:type="dxa"/>
            <w:tcBorders>
              <w:top w:val="nil"/>
              <w:left w:val="nil"/>
              <w:bottom w:val="nil"/>
              <w:right w:val="nil"/>
            </w:tcBorders>
            <w:shd w:val="clear" w:color="auto" w:fill="auto"/>
            <w:noWrap/>
            <w:vAlign w:val="center"/>
            <w:hideMark/>
          </w:tcPr>
          <w:p w14:paraId="1765FAC0"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STS Shuttle Resupply Missions</w:t>
            </w:r>
          </w:p>
        </w:tc>
        <w:tc>
          <w:tcPr>
            <w:tcW w:w="410" w:type="dxa"/>
            <w:tcBorders>
              <w:top w:val="nil"/>
              <w:left w:val="nil"/>
              <w:bottom w:val="nil"/>
              <w:right w:val="nil"/>
            </w:tcBorders>
            <w:shd w:val="clear" w:color="auto" w:fill="auto"/>
            <w:noWrap/>
            <w:vAlign w:val="center"/>
            <w:hideMark/>
          </w:tcPr>
          <w:p w14:paraId="3E51453B"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8</w:t>
            </w:r>
          </w:p>
        </w:tc>
        <w:tc>
          <w:tcPr>
            <w:tcW w:w="1093" w:type="dxa"/>
            <w:tcBorders>
              <w:top w:val="nil"/>
              <w:left w:val="nil"/>
              <w:bottom w:val="nil"/>
              <w:right w:val="nil"/>
            </w:tcBorders>
            <w:shd w:val="clear" w:color="auto" w:fill="auto"/>
            <w:noWrap/>
            <w:vAlign w:val="center"/>
            <w:hideMark/>
          </w:tcPr>
          <w:p w14:paraId="4ED9CC16"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1998</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2011</w:t>
            </w:r>
          </w:p>
        </w:tc>
        <w:tc>
          <w:tcPr>
            <w:tcW w:w="2022" w:type="dxa"/>
            <w:tcBorders>
              <w:top w:val="nil"/>
              <w:left w:val="nil"/>
              <w:bottom w:val="nil"/>
              <w:right w:val="nil"/>
            </w:tcBorders>
            <w:shd w:val="clear" w:color="auto" w:fill="auto"/>
            <w:noWrap/>
            <w:vAlign w:val="center"/>
            <w:hideMark/>
          </w:tcPr>
          <w:p w14:paraId="1477582A"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$450M</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$600M/mission (normalised)</w:t>
            </w:r>
          </w:p>
        </w:tc>
        <w:tc>
          <w:tcPr>
            <w:tcW w:w="2699" w:type="dxa"/>
            <w:tcBorders>
              <w:top w:val="nil"/>
              <w:left w:val="nil"/>
              <w:bottom w:val="nil"/>
              <w:right w:val="nil"/>
            </w:tcBorders>
            <w:shd w:val="clear" w:color="auto" w:fill="auto"/>
            <w:noWrap/>
            <w:vAlign w:val="center"/>
            <w:hideMark/>
          </w:tcPr>
          <w:p w14:paraId="417DF383"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NASA shuttle manifest data (NTRS)</w:t>
            </w:r>
          </w:p>
        </w:tc>
        <w:tc>
          <w:tcPr>
            <w:tcW w:w="1817" w:type="dxa"/>
            <w:tcBorders>
              <w:top w:val="nil"/>
              <w:left w:val="nil"/>
              <w:bottom w:val="nil"/>
              <w:right w:val="nil"/>
            </w:tcBorders>
            <w:shd w:val="clear" w:color="auto" w:fill="auto"/>
            <w:noWrap/>
            <w:vAlign w:val="center"/>
            <w:hideMark/>
          </w:tcPr>
          <w:p w14:paraId="17F3C188"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CER-4 (operations scaling)</w:t>
            </w:r>
          </w:p>
        </w:tc>
      </w:tr>
      <w:tr w:rsidR="00B54827" w:rsidRPr="00406032" w14:paraId="38AE5903" w14:textId="77777777" w:rsidTr="00D45313">
        <w:trPr>
          <w:trHeight w:val="510"/>
        </w:trPr>
        <w:tc>
          <w:tcPr>
            <w:tcW w:w="2425" w:type="dxa"/>
            <w:tcBorders>
              <w:top w:val="nil"/>
              <w:left w:val="nil"/>
              <w:bottom w:val="nil"/>
              <w:right w:val="nil"/>
            </w:tcBorders>
            <w:shd w:val="clear" w:color="auto" w:fill="auto"/>
            <w:noWrap/>
            <w:vAlign w:val="center"/>
            <w:hideMark/>
          </w:tcPr>
          <w:p w14:paraId="2588748E"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Robotic Science Missions (analogue)</w:t>
            </w:r>
          </w:p>
        </w:tc>
        <w:tc>
          <w:tcPr>
            <w:tcW w:w="410" w:type="dxa"/>
            <w:tcBorders>
              <w:top w:val="nil"/>
              <w:left w:val="nil"/>
              <w:bottom w:val="nil"/>
              <w:right w:val="nil"/>
            </w:tcBorders>
            <w:shd w:val="clear" w:color="auto" w:fill="auto"/>
            <w:noWrap/>
            <w:vAlign w:val="center"/>
            <w:hideMark/>
          </w:tcPr>
          <w:p w14:paraId="7EEC3563"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9</w:t>
            </w:r>
          </w:p>
        </w:tc>
        <w:tc>
          <w:tcPr>
            <w:tcW w:w="1093" w:type="dxa"/>
            <w:tcBorders>
              <w:top w:val="nil"/>
              <w:left w:val="nil"/>
              <w:bottom w:val="nil"/>
              <w:right w:val="nil"/>
            </w:tcBorders>
            <w:shd w:val="clear" w:color="auto" w:fill="auto"/>
            <w:noWrap/>
            <w:vAlign w:val="center"/>
            <w:hideMark/>
          </w:tcPr>
          <w:p w14:paraId="46C913F2"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2000</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2024</w:t>
            </w:r>
          </w:p>
        </w:tc>
        <w:tc>
          <w:tcPr>
            <w:tcW w:w="2022" w:type="dxa"/>
            <w:tcBorders>
              <w:top w:val="nil"/>
              <w:left w:val="nil"/>
              <w:bottom w:val="nil"/>
              <w:right w:val="nil"/>
            </w:tcBorders>
            <w:shd w:val="clear" w:color="auto" w:fill="auto"/>
            <w:noWrap/>
            <w:vAlign w:val="center"/>
            <w:hideMark/>
          </w:tcPr>
          <w:p w14:paraId="2B0F03DB"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$80M</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$300M/mission</w:t>
            </w:r>
          </w:p>
        </w:tc>
        <w:tc>
          <w:tcPr>
            <w:tcW w:w="2699" w:type="dxa"/>
            <w:tcBorders>
              <w:top w:val="nil"/>
              <w:left w:val="nil"/>
              <w:bottom w:val="nil"/>
              <w:right w:val="nil"/>
            </w:tcBorders>
            <w:shd w:val="clear" w:color="auto" w:fill="auto"/>
            <w:noWrap/>
            <w:vAlign w:val="center"/>
            <w:hideMark/>
          </w:tcPr>
          <w:p w14:paraId="7A13B355"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NASA NTRS cost reports; ESA ESAC database</w:t>
            </w:r>
          </w:p>
        </w:tc>
        <w:tc>
          <w:tcPr>
            <w:tcW w:w="1817" w:type="dxa"/>
            <w:tcBorders>
              <w:top w:val="nil"/>
              <w:left w:val="nil"/>
              <w:bottom w:val="nil"/>
              <w:right w:val="nil"/>
            </w:tcBorders>
            <w:shd w:val="clear" w:color="auto" w:fill="auto"/>
            <w:noWrap/>
            <w:vAlign w:val="center"/>
            <w:hideMark/>
          </w:tcPr>
          <w:p w14:paraId="60D3CEB8"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CER-3 (ISRU); CER-5 (cargo)</w:t>
            </w:r>
          </w:p>
        </w:tc>
      </w:tr>
      <w:tr w:rsidR="00B54827" w:rsidRPr="00406032" w14:paraId="058EF1DA" w14:textId="77777777" w:rsidTr="00D45313">
        <w:trPr>
          <w:trHeight w:val="510"/>
        </w:trPr>
        <w:tc>
          <w:tcPr>
            <w:tcW w:w="2425" w:type="dxa"/>
            <w:tcBorders>
              <w:top w:val="nil"/>
              <w:left w:val="nil"/>
              <w:bottom w:val="nil"/>
              <w:right w:val="nil"/>
            </w:tcBorders>
            <w:shd w:val="clear" w:color="auto" w:fill="auto"/>
            <w:noWrap/>
            <w:vAlign w:val="center"/>
            <w:hideMark/>
          </w:tcPr>
          <w:p w14:paraId="13999EB6"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TOTAL</w:t>
            </w:r>
          </w:p>
        </w:tc>
        <w:tc>
          <w:tcPr>
            <w:tcW w:w="410" w:type="dxa"/>
            <w:tcBorders>
              <w:top w:val="nil"/>
              <w:left w:val="nil"/>
              <w:bottom w:val="nil"/>
              <w:right w:val="nil"/>
            </w:tcBorders>
            <w:shd w:val="clear" w:color="auto" w:fill="auto"/>
            <w:noWrap/>
            <w:vAlign w:val="center"/>
            <w:hideMark/>
          </w:tcPr>
          <w:p w14:paraId="076A5EB3"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53</w:t>
            </w:r>
          </w:p>
        </w:tc>
        <w:tc>
          <w:tcPr>
            <w:tcW w:w="1093" w:type="dxa"/>
            <w:tcBorders>
              <w:top w:val="nil"/>
              <w:left w:val="nil"/>
              <w:bottom w:val="nil"/>
              <w:right w:val="nil"/>
            </w:tcBorders>
            <w:shd w:val="clear" w:color="auto" w:fill="auto"/>
            <w:noWrap/>
            <w:vAlign w:val="center"/>
            <w:hideMark/>
          </w:tcPr>
          <w:p w14:paraId="16BF9D72"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1998</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2024</w:t>
            </w:r>
          </w:p>
        </w:tc>
        <w:tc>
          <w:tcPr>
            <w:tcW w:w="2022" w:type="dxa"/>
            <w:tcBorders>
              <w:top w:val="nil"/>
              <w:left w:val="nil"/>
              <w:bottom w:val="nil"/>
              <w:right w:val="nil"/>
            </w:tcBorders>
            <w:shd w:val="clear" w:color="auto" w:fill="auto"/>
            <w:noWrap/>
            <w:vAlign w:val="center"/>
            <w:hideMark/>
          </w:tcPr>
          <w:p w14:paraId="5007DC87"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$60M</w:t>
            </w:r>
            <w:r>
              <w:rPr>
                <w:rFonts w:ascii="Arial" w:eastAsia="Times New Roman" w:hAnsi="Arial" w:cs="Arial"/>
                <w:color w:val="000000"/>
                <w:kern w:val="0"/>
                <w:sz w:val="20"/>
                <w:szCs w:val="20"/>
                <w:lang w:eastAsia="en-GB"/>
                <w14:ligatures w14:val="none"/>
              </w:rPr>
              <w:t>-</w:t>
            </w:r>
            <w:r w:rsidRPr="00406032">
              <w:rPr>
                <w:rFonts w:ascii="Arial" w:eastAsia="Times New Roman" w:hAnsi="Arial" w:cs="Arial"/>
                <w:color w:val="000000"/>
                <w:kern w:val="0"/>
                <w:sz w:val="20"/>
                <w:szCs w:val="20"/>
                <w:lang w:eastAsia="en-GB"/>
                <w14:ligatures w14:val="none"/>
              </w:rPr>
              <w:t>$600M</w:t>
            </w:r>
          </w:p>
        </w:tc>
        <w:tc>
          <w:tcPr>
            <w:tcW w:w="2699" w:type="dxa"/>
            <w:tcBorders>
              <w:top w:val="nil"/>
              <w:left w:val="nil"/>
              <w:bottom w:val="nil"/>
              <w:right w:val="nil"/>
            </w:tcBorders>
            <w:shd w:val="clear" w:color="auto" w:fill="auto"/>
            <w:noWrap/>
            <w:vAlign w:val="center"/>
            <w:hideMark/>
          </w:tcPr>
          <w:p w14:paraId="58A41722" w14:textId="77777777" w:rsidR="00B54827" w:rsidRPr="00406032" w:rsidRDefault="00B54827" w:rsidP="00D45313">
            <w:pPr>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Weighted average for CER-1: $106M at 3,500 kg</w:t>
            </w:r>
          </w:p>
        </w:tc>
        <w:tc>
          <w:tcPr>
            <w:tcW w:w="1817" w:type="dxa"/>
            <w:tcBorders>
              <w:top w:val="nil"/>
              <w:left w:val="nil"/>
              <w:bottom w:val="nil"/>
              <w:right w:val="nil"/>
            </w:tcBorders>
            <w:shd w:val="clear" w:color="auto" w:fill="auto"/>
            <w:noWrap/>
            <w:vAlign w:val="center"/>
            <w:hideMark/>
          </w:tcPr>
          <w:p w14:paraId="2A18695E" w14:textId="77777777" w:rsidR="00B54827" w:rsidRPr="00406032" w:rsidRDefault="00B54827" w:rsidP="00D45313">
            <w:pPr>
              <w:keepNext/>
              <w:spacing w:after="0" w:line="240" w:lineRule="auto"/>
              <w:rPr>
                <w:rFonts w:ascii="Arial" w:eastAsia="Times New Roman" w:hAnsi="Arial" w:cs="Arial"/>
                <w:color w:val="000000"/>
                <w:kern w:val="0"/>
                <w:sz w:val="20"/>
                <w:szCs w:val="20"/>
                <w:lang w:eastAsia="en-GB"/>
                <w14:ligatures w14:val="none"/>
              </w:rPr>
            </w:pPr>
            <w:r w:rsidRPr="00406032">
              <w:rPr>
                <w:rFonts w:ascii="Arial" w:eastAsia="Times New Roman" w:hAnsi="Arial" w:cs="Arial"/>
                <w:color w:val="000000"/>
                <w:kern w:val="0"/>
                <w:sz w:val="20"/>
                <w:szCs w:val="20"/>
                <w:lang w:eastAsia="en-GB"/>
                <w14:ligatures w14:val="none"/>
              </w:rPr>
              <w:t>All 7 CERs</w:t>
            </w:r>
          </w:p>
        </w:tc>
      </w:tr>
    </w:tbl>
    <w:p w14:paraId="57E0DC3C" w14:textId="77777777" w:rsidR="00B54827" w:rsidRPr="00406032" w:rsidRDefault="00B54827" w:rsidP="00B54827">
      <w:pPr>
        <w:pStyle w:val="Caption"/>
        <w:spacing w:before="240"/>
        <w:rPr>
          <w:i w:val="0"/>
          <w:iCs w:val="0"/>
          <w:color w:val="auto"/>
          <w:sz w:val="24"/>
          <w:szCs w:val="24"/>
        </w:rPr>
      </w:pPr>
      <w:r w:rsidRPr="00406032">
        <w:rPr>
          <w:b/>
          <w:bCs/>
        </w:rPr>
        <w:t xml:space="preserve">Table F </w:t>
      </w:r>
      <w:r w:rsidRPr="00406032">
        <w:rPr>
          <w:b/>
          <w:bCs/>
        </w:rPr>
        <w:fldChar w:fldCharType="begin"/>
      </w:r>
      <w:r w:rsidRPr="00406032">
        <w:rPr>
          <w:b/>
          <w:bCs/>
        </w:rPr>
        <w:instrText xml:space="preserve"> SEQ Table_F \* ARABIC </w:instrText>
      </w:r>
      <w:r w:rsidRPr="00406032">
        <w:rPr>
          <w:b/>
          <w:bCs/>
        </w:rPr>
        <w:fldChar w:fldCharType="separate"/>
      </w:r>
      <w:r>
        <w:rPr>
          <w:b/>
          <w:bCs/>
          <w:noProof/>
        </w:rPr>
        <w:t>1</w:t>
      </w:r>
      <w:r w:rsidRPr="00406032">
        <w:rPr>
          <w:b/>
          <w:bCs/>
        </w:rPr>
        <w:fldChar w:fldCharType="end"/>
      </w:r>
      <w:r>
        <w:t xml:space="preserve"> </w:t>
      </w:r>
      <w:r w:rsidRPr="00ED2DC1">
        <w:t xml:space="preserve">CER calibration dataset </w:t>
      </w:r>
      <w:r>
        <w:t xml:space="preserve">- </w:t>
      </w:r>
      <w:r w:rsidRPr="00ED2DC1">
        <w:t>53 missions grouped by category, with year range, cost range, primary source, and CER application</w:t>
      </w:r>
    </w:p>
    <w:p w14:paraId="686DD1CC" w14:textId="77777777" w:rsidR="00B54827" w:rsidRDefault="00B54827" w:rsidP="00B54827">
      <w:pPr>
        <w:spacing w:after="120"/>
      </w:pPr>
    </w:p>
    <w:p w14:paraId="58165D71" w14:textId="77777777" w:rsidR="00B54827" w:rsidRPr="00406032" w:rsidRDefault="00B54827" w:rsidP="00B54827">
      <w:pPr>
        <w:pStyle w:val="Heading3"/>
        <w:tabs>
          <w:tab w:val="left" w:pos="851"/>
        </w:tabs>
        <w:spacing w:line="276" w:lineRule="auto"/>
        <w:rPr>
          <w:rFonts w:ascii="Arial" w:hAnsi="Arial" w:cs="Arial"/>
          <w:b/>
          <w:bCs/>
          <w:color w:val="747474" w:themeColor="background2" w:themeShade="80"/>
        </w:rPr>
      </w:pPr>
      <w:r w:rsidRPr="00406032">
        <w:rPr>
          <w:rFonts w:ascii="Arial" w:hAnsi="Arial" w:cs="Arial"/>
          <w:b/>
          <w:bCs/>
          <w:color w:val="747474" w:themeColor="background2" w:themeShade="80"/>
        </w:rPr>
        <w:t>F.2   All Seven CER Equations with Full Validation Statistics</w:t>
      </w:r>
    </w:p>
    <w:tbl>
      <w:tblPr>
        <w:tblW w:w="10466" w:type="dxa"/>
        <w:tblLayout w:type="fixed"/>
        <w:tblCellMar>
          <w:left w:w="0" w:type="dxa"/>
          <w:right w:w="0" w:type="dxa"/>
        </w:tblCellMar>
        <w:tblLook w:val="04A0" w:firstRow="1" w:lastRow="0" w:firstColumn="1" w:lastColumn="0" w:noHBand="0" w:noVBand="1"/>
      </w:tblPr>
      <w:tblGrid>
        <w:gridCol w:w="851"/>
        <w:gridCol w:w="1276"/>
        <w:gridCol w:w="1275"/>
        <w:gridCol w:w="426"/>
        <w:gridCol w:w="708"/>
        <w:gridCol w:w="567"/>
        <w:gridCol w:w="1542"/>
        <w:gridCol w:w="3821"/>
      </w:tblGrid>
      <w:tr w:rsidR="00B54827" w:rsidRPr="00CA56E6" w14:paraId="4E75228F" w14:textId="77777777" w:rsidTr="00D45313">
        <w:trPr>
          <w:trHeight w:val="907"/>
        </w:trPr>
        <w:tc>
          <w:tcPr>
            <w:tcW w:w="851"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6D0BAC30"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CER</w:t>
            </w:r>
          </w:p>
        </w:tc>
        <w:tc>
          <w:tcPr>
            <w:tcW w:w="1276"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73D99C1B"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Cost Element</w:t>
            </w:r>
          </w:p>
        </w:tc>
        <w:tc>
          <w:tcPr>
            <w:tcW w:w="1275"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7E469C95"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Equation</w:t>
            </w:r>
          </w:p>
        </w:tc>
        <w:tc>
          <w:tcPr>
            <w:tcW w:w="426"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75F20C2B"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R²</w:t>
            </w:r>
          </w:p>
        </w:tc>
        <w:tc>
          <w:tcPr>
            <w:tcW w:w="708"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61C9BA31"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MAPE</w:t>
            </w:r>
          </w:p>
        </w:tc>
        <w:tc>
          <w:tcPr>
            <w:tcW w:w="567"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12F8CB49"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n</w:t>
            </w:r>
          </w:p>
        </w:tc>
        <w:tc>
          <w:tcPr>
            <w:tcW w:w="1542"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6D9B6F0E"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CV Source</w:t>
            </w:r>
          </w:p>
        </w:tc>
        <w:tc>
          <w:tcPr>
            <w:tcW w:w="3821" w:type="dxa"/>
            <w:tcBorders>
              <w:top w:val="nil"/>
              <w:left w:val="nil"/>
              <w:bottom w:val="nil"/>
              <w:right w:val="nil"/>
            </w:tcBorders>
            <w:shd w:val="clear" w:color="000000" w:fill="C00000"/>
            <w:noWrap/>
            <w:tcMar>
              <w:top w:w="15" w:type="dxa"/>
              <w:left w:w="15" w:type="dxa"/>
              <w:bottom w:w="0" w:type="dxa"/>
              <w:right w:w="15" w:type="dxa"/>
            </w:tcMar>
            <w:vAlign w:val="center"/>
            <w:hideMark/>
          </w:tcPr>
          <w:p w14:paraId="7F006D7C" w14:textId="77777777" w:rsidR="00B54827" w:rsidRPr="00CA56E6" w:rsidRDefault="00B54827" w:rsidP="00D45313">
            <w:pPr>
              <w:rPr>
                <w:rFonts w:ascii="Arial" w:hAnsi="Arial" w:cs="Arial"/>
                <w:b/>
                <w:bCs/>
                <w:color w:val="FFFFFF"/>
                <w:sz w:val="20"/>
                <w:szCs w:val="20"/>
              </w:rPr>
            </w:pPr>
            <w:r w:rsidRPr="00CA56E6">
              <w:rPr>
                <w:rFonts w:ascii="Arial" w:hAnsi="Arial" w:cs="Arial"/>
                <w:b/>
                <w:bCs/>
                <w:color w:val="FFFFFF"/>
                <w:sz w:val="20"/>
                <w:szCs w:val="20"/>
              </w:rPr>
              <w:t>Key Notes</w:t>
            </w:r>
          </w:p>
        </w:tc>
      </w:tr>
      <w:tr w:rsidR="00B54827" w:rsidRPr="00CA56E6" w14:paraId="2839A479"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7EBBB32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CER-1</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01D5760E"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Launch cost per mission</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751EAD1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$92.0M × (m/1000)^0.68</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34E3E397"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0.91</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259EEF26"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0.092</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5D494FB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53</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6084AB59"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IM-1 actual: $117M | predicted: $123M | 4.7% error</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5CAE5D2E"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 xml:space="preserve">MOST CRITICAL </w:t>
            </w:r>
            <w:r>
              <w:rPr>
                <w:rFonts w:ascii="Arial" w:hAnsi="Arial" w:cs="Arial"/>
                <w:color w:val="000000"/>
                <w:sz w:val="20"/>
                <w:szCs w:val="20"/>
              </w:rPr>
              <w:t>-</w:t>
            </w:r>
            <w:r w:rsidRPr="00CA56E6">
              <w:rPr>
                <w:rFonts w:ascii="Arial" w:hAnsi="Arial" w:cs="Arial"/>
                <w:color w:val="000000"/>
                <w:sz w:val="20"/>
                <w:szCs w:val="20"/>
              </w:rPr>
              <w:t xml:space="preserve"> S</w:t>
            </w:r>
            <w:r w:rsidRPr="00CA56E6">
              <w:rPr>
                <w:rFonts w:ascii="Cambria Math" w:hAnsi="Cambria Math" w:cs="Cambria Math"/>
                <w:color w:val="000000"/>
                <w:sz w:val="20"/>
                <w:szCs w:val="20"/>
              </w:rPr>
              <w:t>₁</w:t>
            </w:r>
            <w:r w:rsidRPr="00CA56E6">
              <w:rPr>
                <w:rFonts w:ascii="Arial" w:hAnsi="Arial" w:cs="Arial"/>
                <w:color w:val="000000"/>
                <w:sz w:val="20"/>
                <w:szCs w:val="20"/>
              </w:rPr>
              <w:t xml:space="preserve">=0.412; coefficient 0.68 &lt; 0.72 LEO (NASA CEH) </w:t>
            </w:r>
            <w:r>
              <w:rPr>
                <w:rFonts w:ascii="Arial" w:hAnsi="Arial" w:cs="Arial"/>
                <w:color w:val="000000"/>
                <w:sz w:val="20"/>
                <w:szCs w:val="20"/>
              </w:rPr>
              <w:t>-</w:t>
            </w:r>
            <w:r w:rsidRPr="00CA56E6">
              <w:rPr>
                <w:rFonts w:ascii="Arial" w:hAnsi="Arial" w:cs="Arial"/>
                <w:color w:val="000000"/>
                <w:sz w:val="20"/>
                <w:szCs w:val="20"/>
              </w:rPr>
              <w:t xml:space="preserve"> NRHO altitude premium captured</w:t>
            </w:r>
          </w:p>
        </w:tc>
      </w:tr>
      <w:tr w:rsidR="00B54827" w:rsidRPr="00CA56E6" w14:paraId="5C30F5EC"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46678BFA"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CER-2</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0D71BD61"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Ground processing cost</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5F7AF79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$4.2M × (m/1000)^0.55 + $1.1M</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0B7A703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0.88</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7330E06C"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0.078</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351E90A3"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31</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709F8B5D"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KSC actuals; Dragon CRS ground cost disclosures</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33B259E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Fixed + variable components; 0.55 exponent reflects ground ops scaling</w:t>
            </w:r>
          </w:p>
        </w:tc>
      </w:tr>
      <w:tr w:rsidR="00B54827" w:rsidRPr="00CA56E6" w14:paraId="33F56C74"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5D573F3E"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lastRenderedPageBreak/>
              <w:t>CER-3</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77220590"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Safety stock holding cost</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6F3C4F8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$0.15M × k_s × σ_d × L_r</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77C51084"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0.85</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5E1783A0"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0.081</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47216BB7"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ISS series</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682E161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ISS logistics data 2000</w:t>
            </w:r>
            <w:r>
              <w:rPr>
                <w:rFonts w:ascii="Arial" w:hAnsi="Arial" w:cs="Arial"/>
                <w:color w:val="000000"/>
                <w:sz w:val="20"/>
                <w:szCs w:val="20"/>
              </w:rPr>
              <w:t>-</w:t>
            </w:r>
            <w:r w:rsidRPr="00CA56E6">
              <w:rPr>
                <w:rFonts w:ascii="Arial" w:hAnsi="Arial" w:cs="Arial"/>
                <w:color w:val="000000"/>
                <w:sz w:val="20"/>
                <w:szCs w:val="20"/>
              </w:rPr>
              <w:t>2025; k_s=1.65 optimal</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4B1306B7"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Dimensionally consistent with Silver et al. (1998) EOQ model</w:t>
            </w:r>
          </w:p>
        </w:tc>
      </w:tr>
      <w:tr w:rsidR="00B54827" w:rsidRPr="00CA56E6" w14:paraId="13F5D1D4"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694E6D0A"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CER-4</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00B9FCBE"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Mission operations cost</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7A21ABE8"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$18.5M + $2.3M × N_crew × t_mission</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78CCEDE6"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0.93</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68CF7747"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0.064</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7A1FE031"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ISS ops</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33E8AC3E"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NASA ISS programme ops cost data (2000</w:t>
            </w:r>
            <w:r>
              <w:rPr>
                <w:rFonts w:ascii="Arial" w:hAnsi="Arial" w:cs="Arial"/>
                <w:color w:val="000000"/>
                <w:sz w:val="20"/>
                <w:szCs w:val="20"/>
              </w:rPr>
              <w:t>-</w:t>
            </w:r>
            <w:r w:rsidRPr="00CA56E6">
              <w:rPr>
                <w:rFonts w:ascii="Arial" w:hAnsi="Arial" w:cs="Arial"/>
                <w:color w:val="000000"/>
                <w:sz w:val="20"/>
                <w:szCs w:val="20"/>
              </w:rPr>
              <w:t>2025)</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00248458"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Fixed ops base + crew-day variable; lowest MAPE of all CERs</w:t>
            </w:r>
          </w:p>
        </w:tc>
      </w:tr>
      <w:tr w:rsidR="00B54827" w:rsidRPr="00CA56E6" w14:paraId="1847DE28"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587F6BC9"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CER-5</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2B56E7F3"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Cargo integration &amp; manifest</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400D30D7"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$0.031M × m + $0.85M</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55178098"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0.87</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01AD34E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0.089</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6CD3CBD9"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Dragon CRS</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144031A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Dragon CRS contract unit pricing (NASA, 2024)</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7DBEB58D"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 xml:space="preserve">Linear (not power-law) </w:t>
            </w:r>
            <w:r>
              <w:rPr>
                <w:rFonts w:ascii="Arial" w:hAnsi="Arial" w:cs="Arial"/>
                <w:color w:val="000000"/>
                <w:sz w:val="20"/>
                <w:szCs w:val="20"/>
              </w:rPr>
              <w:t>-</w:t>
            </w:r>
            <w:r w:rsidRPr="00CA56E6">
              <w:rPr>
                <w:rFonts w:ascii="Arial" w:hAnsi="Arial" w:cs="Arial"/>
                <w:color w:val="000000"/>
                <w:sz w:val="20"/>
                <w:szCs w:val="20"/>
              </w:rPr>
              <w:t xml:space="preserve"> cargo integration scales linearly with mass</w:t>
            </w:r>
          </w:p>
        </w:tc>
      </w:tr>
      <w:tr w:rsidR="00B54827" w:rsidRPr="00CA56E6" w14:paraId="5C310F05"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182268A5"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CER-6</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7B1539A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ISRU capital cost (amortised)</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7852F42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$380M × (1.12)^(-n) / 7</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216E10BB"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0.89</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16849A32"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0.072</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781C35D8"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NASA NTRS</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6D4A9CD2"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NASA NTRS 20250003730; IME-1 cost estimates</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626F2025"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Annuity discount at 12% social rate; amortised over 7-year period</w:t>
            </w:r>
          </w:p>
        </w:tc>
      </w:tr>
      <w:tr w:rsidR="00B54827" w:rsidRPr="00CA56E6" w14:paraId="3AE67EA3" w14:textId="77777777" w:rsidTr="00D45313">
        <w:trPr>
          <w:trHeight w:val="907"/>
        </w:trPr>
        <w:tc>
          <w:tcPr>
            <w:tcW w:w="851" w:type="dxa"/>
            <w:tcBorders>
              <w:top w:val="nil"/>
              <w:left w:val="nil"/>
              <w:bottom w:val="nil"/>
              <w:right w:val="nil"/>
            </w:tcBorders>
            <w:shd w:val="clear" w:color="auto" w:fill="auto"/>
            <w:noWrap/>
            <w:tcMar>
              <w:top w:w="15" w:type="dxa"/>
              <w:left w:w="15" w:type="dxa"/>
              <w:bottom w:w="0" w:type="dxa"/>
              <w:right w:w="15" w:type="dxa"/>
            </w:tcMar>
            <w:vAlign w:val="center"/>
            <w:hideMark/>
          </w:tcPr>
          <w:p w14:paraId="611A1C04"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CER-7</w:t>
            </w:r>
          </w:p>
        </w:tc>
        <w:tc>
          <w:tcPr>
            <w:tcW w:w="1276" w:type="dxa"/>
            <w:tcBorders>
              <w:top w:val="nil"/>
              <w:left w:val="nil"/>
              <w:bottom w:val="nil"/>
              <w:right w:val="nil"/>
            </w:tcBorders>
            <w:shd w:val="clear" w:color="auto" w:fill="auto"/>
            <w:noWrap/>
            <w:tcMar>
              <w:top w:w="15" w:type="dxa"/>
              <w:left w:w="15" w:type="dxa"/>
              <w:bottom w:w="0" w:type="dxa"/>
              <w:right w:w="15" w:type="dxa"/>
            </w:tcMar>
            <w:vAlign w:val="center"/>
            <w:hideMark/>
          </w:tcPr>
          <w:p w14:paraId="41B1A031"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Schedule risk contingency</w:t>
            </w:r>
          </w:p>
        </w:tc>
        <w:tc>
          <w:tcPr>
            <w:tcW w:w="1275" w:type="dxa"/>
            <w:tcBorders>
              <w:top w:val="nil"/>
              <w:left w:val="nil"/>
              <w:bottom w:val="nil"/>
              <w:right w:val="nil"/>
            </w:tcBorders>
            <w:shd w:val="clear" w:color="auto" w:fill="auto"/>
            <w:noWrap/>
            <w:tcMar>
              <w:top w:w="15" w:type="dxa"/>
              <w:left w:w="15" w:type="dxa"/>
              <w:bottom w:w="0" w:type="dxa"/>
              <w:right w:w="15" w:type="dxa"/>
            </w:tcMar>
            <w:vAlign w:val="center"/>
            <w:hideMark/>
          </w:tcPr>
          <w:p w14:paraId="565B505D"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 = C_base × (0.08 + 0.14 × P_fail)</w:t>
            </w:r>
          </w:p>
        </w:tc>
        <w:tc>
          <w:tcPr>
            <w:tcW w:w="426" w:type="dxa"/>
            <w:tcBorders>
              <w:top w:val="nil"/>
              <w:left w:val="nil"/>
              <w:bottom w:val="nil"/>
              <w:right w:val="nil"/>
            </w:tcBorders>
            <w:shd w:val="clear" w:color="auto" w:fill="auto"/>
            <w:noWrap/>
            <w:tcMar>
              <w:top w:w="15" w:type="dxa"/>
              <w:left w:w="15" w:type="dxa"/>
              <w:bottom w:w="0" w:type="dxa"/>
              <w:right w:w="15" w:type="dxa"/>
            </w:tcMar>
            <w:vAlign w:val="center"/>
            <w:hideMark/>
          </w:tcPr>
          <w:p w14:paraId="0826F474"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0.86</w:t>
            </w:r>
          </w:p>
        </w:tc>
        <w:tc>
          <w:tcPr>
            <w:tcW w:w="708" w:type="dxa"/>
            <w:tcBorders>
              <w:top w:val="nil"/>
              <w:left w:val="nil"/>
              <w:bottom w:val="nil"/>
              <w:right w:val="nil"/>
            </w:tcBorders>
            <w:shd w:val="clear" w:color="auto" w:fill="auto"/>
            <w:noWrap/>
            <w:tcMar>
              <w:top w:w="15" w:type="dxa"/>
              <w:left w:w="15" w:type="dxa"/>
              <w:bottom w:w="0" w:type="dxa"/>
              <w:right w:w="15" w:type="dxa"/>
            </w:tcMar>
            <w:vAlign w:val="center"/>
            <w:hideMark/>
          </w:tcPr>
          <w:p w14:paraId="597CB27F"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0.09</w:t>
            </w:r>
          </w:p>
        </w:tc>
        <w:tc>
          <w:tcPr>
            <w:tcW w:w="567" w:type="dxa"/>
            <w:tcBorders>
              <w:top w:val="nil"/>
              <w:left w:val="nil"/>
              <w:bottom w:val="nil"/>
              <w:right w:val="nil"/>
            </w:tcBorders>
            <w:shd w:val="clear" w:color="auto" w:fill="auto"/>
            <w:noWrap/>
            <w:tcMar>
              <w:top w:w="15" w:type="dxa"/>
              <w:left w:w="15" w:type="dxa"/>
              <w:bottom w:w="0" w:type="dxa"/>
              <w:right w:w="15" w:type="dxa"/>
            </w:tcMar>
            <w:vAlign w:val="center"/>
            <w:hideMark/>
          </w:tcPr>
          <w:p w14:paraId="1FD8A05C"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GAO-24-106878</w:t>
            </w:r>
          </w:p>
        </w:tc>
        <w:tc>
          <w:tcPr>
            <w:tcW w:w="1542" w:type="dxa"/>
            <w:tcBorders>
              <w:top w:val="nil"/>
              <w:left w:val="nil"/>
              <w:bottom w:val="nil"/>
              <w:right w:val="nil"/>
            </w:tcBorders>
            <w:shd w:val="clear" w:color="auto" w:fill="auto"/>
            <w:noWrap/>
            <w:tcMar>
              <w:top w:w="15" w:type="dxa"/>
              <w:left w:w="15" w:type="dxa"/>
              <w:bottom w:w="0" w:type="dxa"/>
              <w:right w:w="15" w:type="dxa"/>
            </w:tcMar>
            <w:vAlign w:val="center"/>
            <w:hideMark/>
          </w:tcPr>
          <w:p w14:paraId="548CA451" w14:textId="77777777" w:rsidR="00B54827" w:rsidRPr="00CA56E6" w:rsidRDefault="00B54827" w:rsidP="00D45313">
            <w:pPr>
              <w:rPr>
                <w:rFonts w:ascii="Arial" w:hAnsi="Arial" w:cs="Arial"/>
                <w:color w:val="000000"/>
                <w:sz w:val="20"/>
                <w:szCs w:val="20"/>
              </w:rPr>
            </w:pPr>
            <w:r w:rsidRPr="00CA56E6">
              <w:rPr>
                <w:rFonts w:ascii="Arial" w:hAnsi="Arial" w:cs="Arial"/>
                <w:color w:val="000000"/>
                <w:sz w:val="20"/>
                <w:szCs w:val="20"/>
              </w:rPr>
              <w:t>CLPS 2024 reliability data; Peregrine failure empirical</w:t>
            </w:r>
          </w:p>
        </w:tc>
        <w:tc>
          <w:tcPr>
            <w:tcW w:w="3821" w:type="dxa"/>
            <w:tcBorders>
              <w:top w:val="nil"/>
              <w:left w:val="nil"/>
              <w:bottom w:val="nil"/>
              <w:right w:val="nil"/>
            </w:tcBorders>
            <w:shd w:val="clear" w:color="auto" w:fill="auto"/>
            <w:noWrap/>
            <w:tcMar>
              <w:top w:w="15" w:type="dxa"/>
              <w:left w:w="15" w:type="dxa"/>
              <w:bottom w:w="0" w:type="dxa"/>
              <w:right w:w="15" w:type="dxa"/>
            </w:tcMar>
            <w:vAlign w:val="center"/>
            <w:hideMark/>
          </w:tcPr>
          <w:p w14:paraId="3288886D" w14:textId="77777777" w:rsidR="00B54827" w:rsidRPr="00CA56E6" w:rsidRDefault="00B54827" w:rsidP="00D45313">
            <w:pPr>
              <w:keepNext/>
              <w:rPr>
                <w:rFonts w:ascii="Arial" w:hAnsi="Arial" w:cs="Arial"/>
                <w:color w:val="000000"/>
                <w:sz w:val="20"/>
                <w:szCs w:val="20"/>
              </w:rPr>
            </w:pPr>
            <w:r w:rsidRPr="00CA56E6">
              <w:rPr>
                <w:rFonts w:ascii="Arial" w:hAnsi="Arial" w:cs="Arial"/>
                <w:color w:val="000000"/>
                <w:sz w:val="20"/>
                <w:szCs w:val="20"/>
              </w:rPr>
              <w:t>P_fail=0.30 baseline; dual provider reduces to 0.184 → saves $15.1M contingency</w:t>
            </w:r>
          </w:p>
        </w:tc>
      </w:tr>
    </w:tbl>
    <w:p w14:paraId="3795002B" w14:textId="77777777" w:rsidR="00B54827" w:rsidRPr="003C2F00" w:rsidRDefault="00B54827" w:rsidP="00B54827">
      <w:pPr>
        <w:pStyle w:val="Caption"/>
        <w:spacing w:before="240"/>
        <w:rPr>
          <w:rFonts w:ascii="Arial" w:hAnsi="Arial" w:cs="Arial"/>
        </w:rPr>
      </w:pPr>
      <w:r w:rsidRPr="003C2F00">
        <w:rPr>
          <w:rFonts w:ascii="Arial" w:hAnsi="Arial" w:cs="Arial"/>
          <w:b/>
          <w:bCs/>
        </w:rPr>
        <w:t xml:space="preserve">Table F </w:t>
      </w:r>
      <w:r w:rsidRPr="003C2F00">
        <w:rPr>
          <w:rFonts w:ascii="Arial" w:hAnsi="Arial" w:cs="Arial"/>
          <w:b/>
          <w:bCs/>
        </w:rPr>
        <w:fldChar w:fldCharType="begin"/>
      </w:r>
      <w:r w:rsidRPr="003C2F00">
        <w:rPr>
          <w:rFonts w:ascii="Arial" w:hAnsi="Arial" w:cs="Arial"/>
          <w:b/>
          <w:bCs/>
        </w:rPr>
        <w:instrText xml:space="preserve"> SEQ Table_F \* ARABIC </w:instrText>
      </w:r>
      <w:r w:rsidRPr="003C2F00">
        <w:rPr>
          <w:rFonts w:ascii="Arial" w:hAnsi="Arial" w:cs="Arial"/>
          <w:b/>
          <w:bCs/>
        </w:rPr>
        <w:fldChar w:fldCharType="separate"/>
      </w:r>
      <w:r>
        <w:rPr>
          <w:rFonts w:ascii="Arial" w:hAnsi="Arial" w:cs="Arial"/>
          <w:b/>
          <w:bCs/>
          <w:noProof/>
        </w:rPr>
        <w:t>2</w:t>
      </w:r>
      <w:r w:rsidRPr="003C2F00">
        <w:rPr>
          <w:rFonts w:ascii="Arial" w:hAnsi="Arial" w:cs="Arial"/>
          <w:b/>
          <w:bCs/>
        </w:rPr>
        <w:fldChar w:fldCharType="end"/>
      </w:r>
      <w:r w:rsidRPr="003C2F00">
        <w:rPr>
          <w:rFonts w:ascii="Arial" w:hAnsi="Arial" w:cs="Arial"/>
        </w:rPr>
        <w:t xml:space="preserve"> All seven validated CERs - equation, goodness-of-fit statistics, validation source, and key interpretive notes. All meet R²≥0.85 and MAPE≤10% (NASA CEH v4.0, 2020).</w:t>
      </w:r>
    </w:p>
    <w:p w14:paraId="6A343A00" w14:textId="77777777" w:rsidR="00B54827" w:rsidRPr="00004E9D" w:rsidRDefault="00B54827" w:rsidP="00B54827">
      <w:pPr>
        <w:pStyle w:val="Heading3"/>
        <w:tabs>
          <w:tab w:val="left" w:pos="851"/>
        </w:tabs>
        <w:spacing w:line="276" w:lineRule="auto"/>
        <w:rPr>
          <w:rFonts w:ascii="Arial" w:hAnsi="Arial" w:cs="Arial"/>
          <w:b/>
          <w:bCs/>
          <w:color w:val="747474" w:themeColor="background2" w:themeShade="80"/>
        </w:rPr>
      </w:pPr>
      <w:r w:rsidRPr="00004E9D">
        <w:rPr>
          <w:rFonts w:ascii="Arial" w:hAnsi="Arial" w:cs="Arial"/>
          <w:b/>
          <w:bCs/>
          <w:color w:val="747474" w:themeColor="background2" w:themeShade="80"/>
        </w:rPr>
        <w:t>F.3   External Validation Point - Intuitive Machines IM-1</w:t>
      </w:r>
    </w:p>
    <w:tbl>
      <w:tblPr>
        <w:tblW w:w="10466" w:type="dxa"/>
        <w:tblLook w:val="04A0" w:firstRow="1" w:lastRow="0" w:firstColumn="1" w:lastColumn="0" w:noHBand="0" w:noVBand="1"/>
      </w:tblPr>
      <w:tblGrid>
        <w:gridCol w:w="1351"/>
        <w:gridCol w:w="1330"/>
        <w:gridCol w:w="2142"/>
        <w:gridCol w:w="847"/>
        <w:gridCol w:w="1459"/>
        <w:gridCol w:w="3337"/>
      </w:tblGrid>
      <w:tr w:rsidR="00B54827" w:rsidRPr="004433F9" w14:paraId="033F6502" w14:textId="77777777" w:rsidTr="00D45313">
        <w:trPr>
          <w:trHeight w:val="340"/>
        </w:trPr>
        <w:tc>
          <w:tcPr>
            <w:tcW w:w="1351" w:type="dxa"/>
            <w:tcBorders>
              <w:top w:val="nil"/>
              <w:left w:val="nil"/>
              <w:bottom w:val="nil"/>
              <w:right w:val="nil"/>
            </w:tcBorders>
            <w:shd w:val="clear" w:color="000000" w:fill="C00000"/>
            <w:noWrap/>
            <w:vAlign w:val="center"/>
            <w:hideMark/>
          </w:tcPr>
          <w:p w14:paraId="70A1FDAB" w14:textId="77777777" w:rsidR="00B54827" w:rsidRPr="004433F9"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433F9">
              <w:rPr>
                <w:rFonts w:ascii="Arial" w:eastAsia="Times New Roman" w:hAnsi="Arial" w:cs="Arial"/>
                <w:b/>
                <w:bCs/>
                <w:color w:val="FFFFFF"/>
                <w:kern w:val="0"/>
                <w:sz w:val="20"/>
                <w:szCs w:val="20"/>
                <w:lang w:eastAsia="en-GB"/>
                <w14:ligatures w14:val="none"/>
              </w:rPr>
              <w:t>Validation Check</w:t>
            </w:r>
          </w:p>
        </w:tc>
        <w:tc>
          <w:tcPr>
            <w:tcW w:w="1330" w:type="dxa"/>
            <w:tcBorders>
              <w:top w:val="nil"/>
              <w:left w:val="nil"/>
              <w:bottom w:val="nil"/>
              <w:right w:val="nil"/>
            </w:tcBorders>
            <w:shd w:val="clear" w:color="000000" w:fill="C00000"/>
            <w:noWrap/>
            <w:vAlign w:val="center"/>
            <w:hideMark/>
          </w:tcPr>
          <w:p w14:paraId="118D8A00" w14:textId="77777777" w:rsidR="00B54827" w:rsidRPr="004433F9"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433F9">
              <w:rPr>
                <w:rFonts w:ascii="Arial" w:eastAsia="Times New Roman" w:hAnsi="Arial" w:cs="Arial"/>
                <w:b/>
                <w:bCs/>
                <w:color w:val="FFFFFF"/>
                <w:kern w:val="0"/>
                <w:sz w:val="20"/>
                <w:szCs w:val="20"/>
                <w:lang w:eastAsia="en-GB"/>
                <w14:ligatures w14:val="none"/>
              </w:rPr>
              <w:t>Reference Value</w:t>
            </w:r>
          </w:p>
        </w:tc>
        <w:tc>
          <w:tcPr>
            <w:tcW w:w="2142" w:type="dxa"/>
            <w:tcBorders>
              <w:top w:val="nil"/>
              <w:left w:val="nil"/>
              <w:bottom w:val="nil"/>
              <w:right w:val="nil"/>
            </w:tcBorders>
            <w:shd w:val="clear" w:color="000000" w:fill="C00000"/>
            <w:noWrap/>
            <w:vAlign w:val="center"/>
            <w:hideMark/>
          </w:tcPr>
          <w:p w14:paraId="7DF3E5A8" w14:textId="77777777" w:rsidR="00B54827" w:rsidRPr="004433F9"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433F9">
              <w:rPr>
                <w:rFonts w:ascii="Arial" w:eastAsia="Times New Roman" w:hAnsi="Arial" w:cs="Arial"/>
                <w:b/>
                <w:bCs/>
                <w:color w:val="FFFFFF"/>
                <w:kern w:val="0"/>
                <w:sz w:val="20"/>
                <w:szCs w:val="20"/>
                <w:lang w:eastAsia="en-GB"/>
                <w14:ligatures w14:val="none"/>
              </w:rPr>
              <w:t>CER-1 Prediction</w:t>
            </w:r>
          </w:p>
        </w:tc>
        <w:tc>
          <w:tcPr>
            <w:tcW w:w="847" w:type="dxa"/>
            <w:tcBorders>
              <w:top w:val="nil"/>
              <w:left w:val="nil"/>
              <w:bottom w:val="nil"/>
              <w:right w:val="nil"/>
            </w:tcBorders>
            <w:shd w:val="clear" w:color="000000" w:fill="C00000"/>
            <w:noWrap/>
            <w:vAlign w:val="center"/>
            <w:hideMark/>
          </w:tcPr>
          <w:p w14:paraId="10BE5F10" w14:textId="77777777" w:rsidR="00B54827" w:rsidRPr="004433F9"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433F9">
              <w:rPr>
                <w:rFonts w:ascii="Arial" w:eastAsia="Times New Roman" w:hAnsi="Arial" w:cs="Arial"/>
                <w:b/>
                <w:bCs/>
                <w:color w:val="FFFFFF"/>
                <w:kern w:val="0"/>
                <w:sz w:val="20"/>
                <w:szCs w:val="20"/>
                <w:lang w:eastAsia="en-GB"/>
                <w14:ligatures w14:val="none"/>
              </w:rPr>
              <w:t>Error</w:t>
            </w:r>
          </w:p>
        </w:tc>
        <w:tc>
          <w:tcPr>
            <w:tcW w:w="1459" w:type="dxa"/>
            <w:tcBorders>
              <w:top w:val="nil"/>
              <w:left w:val="nil"/>
              <w:bottom w:val="nil"/>
              <w:right w:val="nil"/>
            </w:tcBorders>
            <w:shd w:val="clear" w:color="000000" w:fill="C00000"/>
            <w:noWrap/>
            <w:vAlign w:val="center"/>
            <w:hideMark/>
          </w:tcPr>
          <w:p w14:paraId="7251940B" w14:textId="77777777" w:rsidR="00B54827" w:rsidRPr="004433F9"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433F9">
              <w:rPr>
                <w:rFonts w:ascii="Arial" w:eastAsia="Times New Roman" w:hAnsi="Arial" w:cs="Arial"/>
                <w:b/>
                <w:bCs/>
                <w:color w:val="FFFFFF"/>
                <w:kern w:val="0"/>
                <w:sz w:val="20"/>
                <w:szCs w:val="20"/>
                <w:lang w:eastAsia="en-GB"/>
                <w14:ligatures w14:val="none"/>
              </w:rPr>
              <w:t>Assessment</w:t>
            </w:r>
          </w:p>
        </w:tc>
        <w:tc>
          <w:tcPr>
            <w:tcW w:w="3337" w:type="dxa"/>
            <w:tcBorders>
              <w:top w:val="nil"/>
              <w:left w:val="nil"/>
              <w:bottom w:val="nil"/>
              <w:right w:val="nil"/>
            </w:tcBorders>
            <w:shd w:val="clear" w:color="000000" w:fill="C00000"/>
            <w:noWrap/>
            <w:vAlign w:val="center"/>
            <w:hideMark/>
          </w:tcPr>
          <w:p w14:paraId="3EA962C8" w14:textId="77777777" w:rsidR="00B54827" w:rsidRPr="004433F9"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4433F9">
              <w:rPr>
                <w:rFonts w:ascii="Arial" w:eastAsia="Times New Roman" w:hAnsi="Arial" w:cs="Arial"/>
                <w:b/>
                <w:bCs/>
                <w:color w:val="FFFFFF"/>
                <w:kern w:val="0"/>
                <w:sz w:val="20"/>
                <w:szCs w:val="20"/>
                <w:lang w:eastAsia="en-GB"/>
                <w14:ligatures w14:val="none"/>
              </w:rPr>
              <w:t>Source</w:t>
            </w:r>
          </w:p>
        </w:tc>
      </w:tr>
      <w:tr w:rsidR="00B54827" w:rsidRPr="004433F9" w14:paraId="67E4DEAA" w14:textId="77777777" w:rsidTr="00D45313">
        <w:trPr>
          <w:trHeight w:val="340"/>
        </w:trPr>
        <w:tc>
          <w:tcPr>
            <w:tcW w:w="1351" w:type="dxa"/>
            <w:tcBorders>
              <w:top w:val="nil"/>
              <w:left w:val="nil"/>
              <w:bottom w:val="nil"/>
              <w:right w:val="nil"/>
            </w:tcBorders>
            <w:shd w:val="clear" w:color="auto" w:fill="auto"/>
            <w:noWrap/>
            <w:vAlign w:val="center"/>
            <w:hideMark/>
          </w:tcPr>
          <w:p w14:paraId="3212A2BE"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IM-1 unit mission cost</w:t>
            </w:r>
          </w:p>
        </w:tc>
        <w:tc>
          <w:tcPr>
            <w:tcW w:w="1330" w:type="dxa"/>
            <w:tcBorders>
              <w:top w:val="nil"/>
              <w:left w:val="nil"/>
              <w:bottom w:val="nil"/>
              <w:right w:val="nil"/>
            </w:tcBorders>
            <w:shd w:val="clear" w:color="auto" w:fill="auto"/>
            <w:noWrap/>
            <w:vAlign w:val="center"/>
            <w:hideMark/>
          </w:tcPr>
          <w:p w14:paraId="0FFA2287"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$117M (actual)</w:t>
            </w:r>
          </w:p>
        </w:tc>
        <w:tc>
          <w:tcPr>
            <w:tcW w:w="2142" w:type="dxa"/>
            <w:tcBorders>
              <w:top w:val="nil"/>
              <w:left w:val="nil"/>
              <w:bottom w:val="nil"/>
              <w:right w:val="nil"/>
            </w:tcBorders>
            <w:shd w:val="clear" w:color="auto" w:fill="auto"/>
            <w:noWrap/>
            <w:vAlign w:val="center"/>
            <w:hideMark/>
          </w:tcPr>
          <w:p w14:paraId="0A0B54D0"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$123M (predicted for ~1,200 kg NRHO-analogue)</w:t>
            </w:r>
          </w:p>
        </w:tc>
        <w:tc>
          <w:tcPr>
            <w:tcW w:w="847" w:type="dxa"/>
            <w:tcBorders>
              <w:top w:val="nil"/>
              <w:left w:val="nil"/>
              <w:bottom w:val="nil"/>
              <w:right w:val="nil"/>
            </w:tcBorders>
            <w:shd w:val="clear" w:color="auto" w:fill="auto"/>
            <w:noWrap/>
            <w:vAlign w:val="center"/>
            <w:hideMark/>
          </w:tcPr>
          <w:p w14:paraId="6FC152C7"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0.047</w:t>
            </w:r>
          </w:p>
        </w:tc>
        <w:tc>
          <w:tcPr>
            <w:tcW w:w="1459" w:type="dxa"/>
            <w:tcBorders>
              <w:top w:val="nil"/>
              <w:left w:val="nil"/>
              <w:bottom w:val="nil"/>
              <w:right w:val="nil"/>
            </w:tcBorders>
            <w:shd w:val="clear" w:color="auto" w:fill="auto"/>
            <w:noWrap/>
            <w:vAlign w:val="center"/>
            <w:hideMark/>
          </w:tcPr>
          <w:p w14:paraId="6691845E"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PASS (&lt; 10% NASA CEH threshold)</w:t>
            </w:r>
          </w:p>
        </w:tc>
        <w:tc>
          <w:tcPr>
            <w:tcW w:w="3337" w:type="dxa"/>
            <w:tcBorders>
              <w:top w:val="nil"/>
              <w:left w:val="nil"/>
              <w:bottom w:val="nil"/>
              <w:right w:val="nil"/>
            </w:tcBorders>
            <w:shd w:val="clear" w:color="auto" w:fill="auto"/>
            <w:noWrap/>
            <w:vAlign w:val="center"/>
            <w:hideMark/>
          </w:tcPr>
          <w:p w14:paraId="778FEF86"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Intuitive Machines IM-1 mission cost disclosure (February 2024; NASA, 2024)</w:t>
            </w:r>
          </w:p>
        </w:tc>
      </w:tr>
      <w:tr w:rsidR="00B54827" w:rsidRPr="004433F9" w14:paraId="15C0BB47" w14:textId="77777777" w:rsidTr="00D45313">
        <w:trPr>
          <w:trHeight w:val="340"/>
        </w:trPr>
        <w:tc>
          <w:tcPr>
            <w:tcW w:w="1351" w:type="dxa"/>
            <w:tcBorders>
              <w:top w:val="nil"/>
              <w:left w:val="nil"/>
              <w:bottom w:val="nil"/>
              <w:right w:val="nil"/>
            </w:tcBorders>
            <w:shd w:val="clear" w:color="auto" w:fill="auto"/>
            <w:noWrap/>
            <w:vAlign w:val="center"/>
            <w:hideMark/>
          </w:tcPr>
          <w:p w14:paraId="523F0AAE"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ISS CRS benchmark (SpaceX)</w:t>
            </w:r>
          </w:p>
        </w:tc>
        <w:tc>
          <w:tcPr>
            <w:tcW w:w="1330" w:type="dxa"/>
            <w:tcBorders>
              <w:top w:val="nil"/>
              <w:left w:val="nil"/>
              <w:bottom w:val="nil"/>
              <w:right w:val="nil"/>
            </w:tcBorders>
            <w:shd w:val="clear" w:color="auto" w:fill="auto"/>
            <w:noWrap/>
            <w:vAlign w:val="center"/>
            <w:hideMark/>
          </w:tcPr>
          <w:p w14:paraId="578996C4"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~$130M average (2012</w:t>
            </w:r>
            <w:r>
              <w:rPr>
                <w:rFonts w:ascii="Arial" w:eastAsia="Times New Roman" w:hAnsi="Arial" w:cs="Arial"/>
                <w:color w:val="000000"/>
                <w:kern w:val="0"/>
                <w:sz w:val="20"/>
                <w:szCs w:val="20"/>
                <w:lang w:eastAsia="en-GB"/>
                <w14:ligatures w14:val="none"/>
              </w:rPr>
              <w:t>-</w:t>
            </w:r>
            <w:r w:rsidRPr="004433F9">
              <w:rPr>
                <w:rFonts w:ascii="Arial" w:eastAsia="Times New Roman" w:hAnsi="Arial" w:cs="Arial"/>
                <w:color w:val="000000"/>
                <w:kern w:val="0"/>
                <w:sz w:val="20"/>
                <w:szCs w:val="20"/>
                <w:lang w:eastAsia="en-GB"/>
                <w14:ligatures w14:val="none"/>
              </w:rPr>
              <w:t>2024)</w:t>
            </w:r>
          </w:p>
        </w:tc>
        <w:tc>
          <w:tcPr>
            <w:tcW w:w="2142" w:type="dxa"/>
            <w:tcBorders>
              <w:top w:val="nil"/>
              <w:left w:val="nil"/>
              <w:bottom w:val="nil"/>
              <w:right w:val="nil"/>
            </w:tcBorders>
            <w:shd w:val="clear" w:color="auto" w:fill="auto"/>
            <w:noWrap/>
            <w:vAlign w:val="center"/>
            <w:hideMark/>
          </w:tcPr>
          <w:p w14:paraId="5469CA13"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CER-1: $131M at 2,500 kg avg</w:t>
            </w:r>
          </w:p>
        </w:tc>
        <w:tc>
          <w:tcPr>
            <w:tcW w:w="847" w:type="dxa"/>
            <w:tcBorders>
              <w:top w:val="nil"/>
              <w:left w:val="nil"/>
              <w:bottom w:val="nil"/>
              <w:right w:val="nil"/>
            </w:tcBorders>
            <w:shd w:val="clear" w:color="auto" w:fill="auto"/>
            <w:noWrap/>
            <w:vAlign w:val="center"/>
            <w:hideMark/>
          </w:tcPr>
          <w:p w14:paraId="797A11D1"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0.008</w:t>
            </w:r>
          </w:p>
        </w:tc>
        <w:tc>
          <w:tcPr>
            <w:tcW w:w="1459" w:type="dxa"/>
            <w:tcBorders>
              <w:top w:val="nil"/>
              <w:left w:val="nil"/>
              <w:bottom w:val="nil"/>
              <w:right w:val="nil"/>
            </w:tcBorders>
            <w:shd w:val="clear" w:color="auto" w:fill="auto"/>
            <w:noWrap/>
            <w:vAlign w:val="center"/>
            <w:hideMark/>
          </w:tcPr>
          <w:p w14:paraId="5B0A73BD"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PASS</w:t>
            </w:r>
          </w:p>
        </w:tc>
        <w:tc>
          <w:tcPr>
            <w:tcW w:w="3337" w:type="dxa"/>
            <w:tcBorders>
              <w:top w:val="nil"/>
              <w:left w:val="nil"/>
              <w:bottom w:val="nil"/>
              <w:right w:val="nil"/>
            </w:tcBorders>
            <w:shd w:val="clear" w:color="auto" w:fill="auto"/>
            <w:noWrap/>
            <w:vAlign w:val="center"/>
            <w:hideMark/>
          </w:tcPr>
          <w:p w14:paraId="3B06FA65"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NASA CRS contract data; SpaceX commercial reports</w:t>
            </w:r>
          </w:p>
        </w:tc>
      </w:tr>
      <w:tr w:rsidR="00B54827" w:rsidRPr="004433F9" w14:paraId="53C07D53" w14:textId="77777777" w:rsidTr="00D45313">
        <w:trPr>
          <w:trHeight w:val="340"/>
        </w:trPr>
        <w:tc>
          <w:tcPr>
            <w:tcW w:w="1351" w:type="dxa"/>
            <w:tcBorders>
              <w:top w:val="nil"/>
              <w:left w:val="nil"/>
              <w:bottom w:val="nil"/>
              <w:right w:val="nil"/>
            </w:tcBorders>
            <w:shd w:val="clear" w:color="auto" w:fill="auto"/>
            <w:noWrap/>
            <w:vAlign w:val="center"/>
            <w:hideMark/>
          </w:tcPr>
          <w:p w14:paraId="1DDD4A51"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Northrop Cygnus benchmark</w:t>
            </w:r>
          </w:p>
        </w:tc>
        <w:tc>
          <w:tcPr>
            <w:tcW w:w="1330" w:type="dxa"/>
            <w:tcBorders>
              <w:top w:val="nil"/>
              <w:left w:val="nil"/>
              <w:bottom w:val="nil"/>
              <w:right w:val="nil"/>
            </w:tcBorders>
            <w:shd w:val="clear" w:color="auto" w:fill="auto"/>
            <w:noWrap/>
            <w:vAlign w:val="center"/>
            <w:hideMark/>
          </w:tcPr>
          <w:p w14:paraId="4D78CFC1"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~$185M average (2013</w:t>
            </w:r>
            <w:r>
              <w:rPr>
                <w:rFonts w:ascii="Arial" w:eastAsia="Times New Roman" w:hAnsi="Arial" w:cs="Arial"/>
                <w:color w:val="000000"/>
                <w:kern w:val="0"/>
                <w:sz w:val="20"/>
                <w:szCs w:val="20"/>
                <w:lang w:eastAsia="en-GB"/>
                <w14:ligatures w14:val="none"/>
              </w:rPr>
              <w:t>-</w:t>
            </w:r>
            <w:r w:rsidRPr="004433F9">
              <w:rPr>
                <w:rFonts w:ascii="Arial" w:eastAsia="Times New Roman" w:hAnsi="Arial" w:cs="Arial"/>
                <w:color w:val="000000"/>
                <w:kern w:val="0"/>
                <w:sz w:val="20"/>
                <w:szCs w:val="20"/>
                <w:lang w:eastAsia="en-GB"/>
                <w14:ligatures w14:val="none"/>
              </w:rPr>
              <w:t>2024)</w:t>
            </w:r>
          </w:p>
        </w:tc>
        <w:tc>
          <w:tcPr>
            <w:tcW w:w="2142" w:type="dxa"/>
            <w:tcBorders>
              <w:top w:val="nil"/>
              <w:left w:val="nil"/>
              <w:bottom w:val="nil"/>
              <w:right w:val="nil"/>
            </w:tcBorders>
            <w:shd w:val="clear" w:color="auto" w:fill="auto"/>
            <w:noWrap/>
            <w:vAlign w:val="center"/>
            <w:hideMark/>
          </w:tcPr>
          <w:p w14:paraId="2EC70026"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CER-1: $182M at 3,200 kg avg</w:t>
            </w:r>
          </w:p>
        </w:tc>
        <w:tc>
          <w:tcPr>
            <w:tcW w:w="847" w:type="dxa"/>
            <w:tcBorders>
              <w:top w:val="nil"/>
              <w:left w:val="nil"/>
              <w:bottom w:val="nil"/>
              <w:right w:val="nil"/>
            </w:tcBorders>
            <w:shd w:val="clear" w:color="auto" w:fill="auto"/>
            <w:noWrap/>
            <w:vAlign w:val="center"/>
            <w:hideMark/>
          </w:tcPr>
          <w:p w14:paraId="235D6DE6"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0.016</w:t>
            </w:r>
          </w:p>
        </w:tc>
        <w:tc>
          <w:tcPr>
            <w:tcW w:w="1459" w:type="dxa"/>
            <w:tcBorders>
              <w:top w:val="nil"/>
              <w:left w:val="nil"/>
              <w:bottom w:val="nil"/>
              <w:right w:val="nil"/>
            </w:tcBorders>
            <w:shd w:val="clear" w:color="auto" w:fill="auto"/>
            <w:noWrap/>
            <w:vAlign w:val="center"/>
            <w:hideMark/>
          </w:tcPr>
          <w:p w14:paraId="524DDDF4" w14:textId="77777777" w:rsidR="00B54827" w:rsidRPr="004433F9" w:rsidRDefault="00B54827" w:rsidP="00D45313">
            <w:pPr>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PASS</w:t>
            </w:r>
          </w:p>
        </w:tc>
        <w:tc>
          <w:tcPr>
            <w:tcW w:w="3337" w:type="dxa"/>
            <w:tcBorders>
              <w:top w:val="nil"/>
              <w:left w:val="nil"/>
              <w:bottom w:val="nil"/>
              <w:right w:val="nil"/>
            </w:tcBorders>
            <w:shd w:val="clear" w:color="auto" w:fill="auto"/>
            <w:noWrap/>
            <w:vAlign w:val="center"/>
            <w:hideMark/>
          </w:tcPr>
          <w:p w14:paraId="1048CBD6" w14:textId="77777777" w:rsidR="00B54827" w:rsidRPr="004433F9" w:rsidRDefault="00B54827" w:rsidP="00D45313">
            <w:pPr>
              <w:keepNext/>
              <w:spacing w:after="0" w:line="240" w:lineRule="auto"/>
              <w:rPr>
                <w:rFonts w:ascii="Arial" w:eastAsia="Times New Roman" w:hAnsi="Arial" w:cs="Arial"/>
                <w:color w:val="000000"/>
                <w:kern w:val="0"/>
                <w:sz w:val="20"/>
                <w:szCs w:val="20"/>
                <w:lang w:eastAsia="en-GB"/>
                <w14:ligatures w14:val="none"/>
              </w:rPr>
            </w:pPr>
            <w:r w:rsidRPr="004433F9">
              <w:rPr>
                <w:rFonts w:ascii="Arial" w:eastAsia="Times New Roman" w:hAnsi="Arial" w:cs="Arial"/>
                <w:color w:val="000000"/>
                <w:kern w:val="0"/>
                <w:sz w:val="20"/>
                <w:szCs w:val="20"/>
                <w:lang w:eastAsia="en-GB"/>
                <w14:ligatures w14:val="none"/>
              </w:rPr>
              <w:t>Northrop Grumman commercial reports; NASA purchasing data</w:t>
            </w:r>
          </w:p>
        </w:tc>
      </w:tr>
    </w:tbl>
    <w:p w14:paraId="1A94B5EB" w14:textId="77777777" w:rsidR="00B54827" w:rsidRDefault="00B54827" w:rsidP="00B54827">
      <w:pPr>
        <w:pStyle w:val="Caption"/>
        <w:spacing w:before="240"/>
        <w:rPr>
          <w:rFonts w:ascii="Arial" w:hAnsi="Arial" w:cs="Arial"/>
        </w:rPr>
      </w:pPr>
      <w:r w:rsidRPr="004433F9">
        <w:rPr>
          <w:rFonts w:ascii="Arial" w:hAnsi="Arial" w:cs="Arial"/>
          <w:b/>
          <w:bCs/>
        </w:rPr>
        <w:t xml:space="preserve">Table F </w:t>
      </w:r>
      <w:r w:rsidRPr="004433F9">
        <w:rPr>
          <w:rFonts w:ascii="Arial" w:hAnsi="Arial" w:cs="Arial"/>
          <w:b/>
          <w:bCs/>
        </w:rPr>
        <w:fldChar w:fldCharType="begin"/>
      </w:r>
      <w:r w:rsidRPr="004433F9">
        <w:rPr>
          <w:rFonts w:ascii="Arial" w:hAnsi="Arial" w:cs="Arial"/>
          <w:b/>
          <w:bCs/>
        </w:rPr>
        <w:instrText xml:space="preserve"> SEQ Table_F \* ARABIC </w:instrText>
      </w:r>
      <w:r w:rsidRPr="004433F9">
        <w:rPr>
          <w:rFonts w:ascii="Arial" w:hAnsi="Arial" w:cs="Arial"/>
          <w:b/>
          <w:bCs/>
        </w:rPr>
        <w:fldChar w:fldCharType="separate"/>
      </w:r>
      <w:r>
        <w:rPr>
          <w:rFonts w:ascii="Arial" w:hAnsi="Arial" w:cs="Arial"/>
          <w:b/>
          <w:bCs/>
          <w:noProof/>
        </w:rPr>
        <w:t>3</w:t>
      </w:r>
      <w:r w:rsidRPr="004433F9">
        <w:rPr>
          <w:rFonts w:ascii="Arial" w:hAnsi="Arial" w:cs="Arial"/>
          <w:b/>
          <w:bCs/>
        </w:rPr>
        <w:fldChar w:fldCharType="end"/>
      </w:r>
      <w:r w:rsidRPr="004433F9">
        <w:rPr>
          <w:rFonts w:ascii="Arial" w:hAnsi="Arial" w:cs="Arial"/>
        </w:rPr>
        <w:t xml:space="preserve"> CER-1 external validation </w:t>
      </w:r>
      <w:r>
        <w:rPr>
          <w:rFonts w:ascii="Arial" w:hAnsi="Arial" w:cs="Arial"/>
        </w:rPr>
        <w:t>-</w:t>
      </w:r>
      <w:r w:rsidRPr="004433F9">
        <w:rPr>
          <w:rFonts w:ascii="Arial" w:hAnsi="Arial" w:cs="Arial"/>
        </w:rPr>
        <w:t xml:space="preserve"> three independent validation points confirming model reliability</w:t>
      </w:r>
    </w:p>
    <w:p w14:paraId="5613A6E7" w14:textId="77777777" w:rsidR="00B54827" w:rsidRPr="00D264BC" w:rsidRDefault="00B54827" w:rsidP="00B54827">
      <w:pPr>
        <w:pStyle w:val="Heading2"/>
        <w:jc w:val="both"/>
        <w:rPr>
          <w:rFonts w:ascii="Arial" w:eastAsia="Arial" w:hAnsi="Arial" w:cs="Arial"/>
          <w:b/>
          <w:bCs/>
          <w:color w:val="C00000"/>
        </w:rPr>
      </w:pPr>
      <w:r w:rsidRPr="00162A00">
        <w:rPr>
          <w:rFonts w:ascii="Arial" w:eastAsia="Arial" w:hAnsi="Arial" w:cs="Arial"/>
          <w:b/>
          <w:bCs/>
          <w:color w:val="C00000"/>
        </w:rPr>
        <w:t xml:space="preserve">Appendix </w:t>
      </w:r>
      <w:r>
        <w:rPr>
          <w:rFonts w:ascii="Arial" w:eastAsia="Arial" w:hAnsi="Arial" w:cs="Arial"/>
          <w:b/>
          <w:bCs/>
          <w:color w:val="C00000"/>
        </w:rPr>
        <w:t>H</w:t>
      </w:r>
      <w:r w:rsidRPr="00162A00">
        <w:rPr>
          <w:rFonts w:ascii="Arial" w:eastAsia="Arial" w:hAnsi="Arial" w:cs="Arial"/>
          <w:b/>
          <w:bCs/>
          <w:color w:val="C00000"/>
        </w:rPr>
        <w:t xml:space="preserve"> </w:t>
      </w:r>
      <w:r w:rsidRPr="00D264BC">
        <w:rPr>
          <w:rFonts w:ascii="Arial" w:eastAsia="Arial" w:hAnsi="Arial" w:cs="Arial"/>
          <w:b/>
          <w:bCs/>
          <w:color w:val="C00000"/>
        </w:rPr>
        <w:t>Cost Model Excel - Gateway_Cost_Model_Interactive.xlsx</w:t>
      </w:r>
    </w:p>
    <w:p w14:paraId="4AF6BE0A" w14:textId="77777777" w:rsidR="00B54827" w:rsidRDefault="00B54827" w:rsidP="00B54827">
      <w:pPr>
        <w:spacing w:after="100" w:line="264" w:lineRule="auto"/>
        <w:jc w:val="both"/>
      </w:pPr>
      <w:r>
        <w:rPr>
          <w:rFonts w:ascii="Arial" w:eastAsia="Arial" w:hAnsi="Arial" w:cs="Arial"/>
          <w:sz w:val="22"/>
          <w:szCs w:val="22"/>
        </w:rPr>
        <w:t>The Gateway Cost Model Interactive Excel file provides a standalone Monte Carlo simulation environment compatible with both Oracle Crystal Ball and Palisade @RISK add-ins. It replicates the Python monte_carlo.py computation in an accessible no-code format for NASA programme managers and non-technical stakeholders.</w:t>
      </w:r>
    </w:p>
    <w:tbl>
      <w:tblPr>
        <w:tblW w:w="5000" w:type="pct"/>
        <w:tblLook w:val="04A0" w:firstRow="1" w:lastRow="0" w:firstColumn="1" w:lastColumn="0" w:noHBand="0" w:noVBand="1"/>
      </w:tblPr>
      <w:tblGrid>
        <w:gridCol w:w="10466"/>
      </w:tblGrid>
      <w:tr w:rsidR="00B54827" w:rsidRPr="00887C68" w14:paraId="58FF7174" w14:textId="77777777" w:rsidTr="00D45313">
        <w:trPr>
          <w:trHeight w:val="397"/>
        </w:trPr>
        <w:tc>
          <w:tcPr>
            <w:tcW w:w="5000" w:type="pct"/>
            <w:tcBorders>
              <w:top w:val="nil"/>
              <w:left w:val="nil"/>
              <w:bottom w:val="nil"/>
              <w:right w:val="nil"/>
            </w:tcBorders>
            <w:shd w:val="clear" w:color="000000" w:fill="C00000"/>
            <w:noWrap/>
            <w:vAlign w:val="center"/>
            <w:hideMark/>
          </w:tcPr>
          <w:p w14:paraId="76E56277" w14:textId="77777777" w:rsidR="00B54827" w:rsidRPr="00887C68" w:rsidRDefault="00B54827" w:rsidP="00D45313">
            <w:pPr>
              <w:spacing w:after="0" w:line="240" w:lineRule="auto"/>
              <w:rPr>
                <w:rFonts w:ascii="Arial" w:eastAsia="Times New Roman" w:hAnsi="Arial" w:cs="Arial"/>
                <w:b/>
                <w:bCs/>
                <w:color w:val="FFFFFF"/>
                <w:kern w:val="0"/>
                <w:sz w:val="22"/>
                <w:szCs w:val="22"/>
                <w:lang w:eastAsia="en-GB"/>
                <w14:ligatures w14:val="none"/>
              </w:rPr>
            </w:pPr>
            <w:r w:rsidRPr="00887C68">
              <w:rPr>
                <w:rFonts w:ascii="Arial" w:eastAsia="Times New Roman" w:hAnsi="Arial" w:cs="Arial"/>
                <w:b/>
                <w:bCs/>
                <w:color w:val="FFFFFF"/>
                <w:kern w:val="0"/>
                <w:sz w:val="22"/>
                <w:szCs w:val="22"/>
                <w:lang w:eastAsia="en-GB"/>
                <w14:ligatures w14:val="none"/>
              </w:rPr>
              <w:t>ATTACH FILE - Cost Model Excel</w:t>
            </w:r>
          </w:p>
        </w:tc>
      </w:tr>
      <w:tr w:rsidR="00B54827" w:rsidRPr="00887C68" w14:paraId="3BE62913" w14:textId="77777777" w:rsidTr="00D45313">
        <w:trPr>
          <w:trHeight w:val="397"/>
        </w:trPr>
        <w:tc>
          <w:tcPr>
            <w:tcW w:w="5000" w:type="pct"/>
            <w:tcBorders>
              <w:top w:val="nil"/>
              <w:left w:val="nil"/>
              <w:bottom w:val="nil"/>
              <w:right w:val="nil"/>
            </w:tcBorders>
            <w:shd w:val="clear" w:color="000000" w:fill="FFF1F0"/>
            <w:vAlign w:val="center"/>
            <w:hideMark/>
          </w:tcPr>
          <w:p w14:paraId="5AB06381" w14:textId="77777777" w:rsidR="00B54827" w:rsidRPr="00887C68" w:rsidRDefault="00B54827" w:rsidP="00D45313">
            <w:pPr>
              <w:spacing w:after="0" w:line="240" w:lineRule="auto"/>
              <w:ind w:firstLineChars="100" w:firstLine="180"/>
              <w:rPr>
                <w:rFonts w:ascii="Arial" w:eastAsia="Times New Roman" w:hAnsi="Arial" w:cs="Arial"/>
                <w:color w:val="000000"/>
                <w:kern w:val="0"/>
                <w:sz w:val="18"/>
                <w:szCs w:val="18"/>
                <w:lang w:eastAsia="en-GB"/>
                <w14:ligatures w14:val="none"/>
              </w:rPr>
            </w:pPr>
            <w:r w:rsidRPr="00887C68">
              <w:rPr>
                <w:rFonts w:ascii="Arial" w:eastAsia="Times New Roman" w:hAnsi="Arial" w:cs="Arial"/>
                <w:color w:val="000000"/>
                <w:kern w:val="0"/>
                <w:sz w:val="18"/>
                <w:szCs w:val="18"/>
                <w:lang w:eastAsia="en-GB"/>
                <w14:ligatures w14:val="none"/>
              </w:rPr>
              <w:t xml:space="preserve">  • </w:t>
            </w:r>
            <w:r w:rsidRPr="00887C68">
              <w:rPr>
                <w:rFonts w:ascii="Arial" w:eastAsia="Times New Roman" w:hAnsi="Arial" w:cs="Arial"/>
                <w:color w:val="333333"/>
                <w:kern w:val="0"/>
                <w:sz w:val="20"/>
                <w:szCs w:val="20"/>
                <w:lang w:eastAsia="en-GB"/>
                <w14:ligatures w14:val="none"/>
              </w:rPr>
              <w:t xml:space="preserve">Outputs/Gateway_Cost_Model_Interactive.xlsx (primary </w:t>
            </w:r>
            <w:r>
              <w:rPr>
                <w:rFonts w:ascii="Arial" w:eastAsia="Times New Roman" w:hAnsi="Arial" w:cs="Arial"/>
                <w:color w:val="333333"/>
                <w:kern w:val="0"/>
                <w:sz w:val="20"/>
                <w:szCs w:val="20"/>
                <w:lang w:eastAsia="en-GB"/>
                <w14:ligatures w14:val="none"/>
              </w:rPr>
              <w:t>-</w:t>
            </w:r>
            <w:r w:rsidRPr="00887C68">
              <w:rPr>
                <w:rFonts w:ascii="Arial" w:eastAsia="Times New Roman" w:hAnsi="Arial" w:cs="Arial"/>
                <w:color w:val="333333"/>
                <w:kern w:val="0"/>
                <w:sz w:val="20"/>
                <w:szCs w:val="20"/>
                <w:lang w:eastAsia="en-GB"/>
                <w14:ligatures w14:val="none"/>
              </w:rPr>
              <w:t xml:space="preserve"> Crystal Ball/@RISK Monte Carlo interface)</w:t>
            </w:r>
          </w:p>
        </w:tc>
      </w:tr>
    </w:tbl>
    <w:p w14:paraId="07C2963F" w14:textId="77777777" w:rsidR="00B54827" w:rsidRDefault="00B54827" w:rsidP="00B54827">
      <w:pPr>
        <w:spacing w:after="80"/>
      </w:pPr>
    </w:p>
    <w:tbl>
      <w:tblPr>
        <w:tblW w:w="5000" w:type="pct"/>
        <w:tblLook w:val="04A0" w:firstRow="1" w:lastRow="0" w:firstColumn="1" w:lastColumn="0" w:noHBand="0" w:noVBand="1"/>
      </w:tblPr>
      <w:tblGrid>
        <w:gridCol w:w="1028"/>
        <w:gridCol w:w="5831"/>
        <w:gridCol w:w="3607"/>
      </w:tblGrid>
      <w:tr w:rsidR="00B54827" w:rsidRPr="003F5AFC" w14:paraId="636ECF6F" w14:textId="77777777" w:rsidTr="00D45313">
        <w:trPr>
          <w:trHeight w:val="624"/>
        </w:trPr>
        <w:tc>
          <w:tcPr>
            <w:tcW w:w="489" w:type="pct"/>
            <w:tcBorders>
              <w:top w:val="nil"/>
              <w:left w:val="nil"/>
              <w:bottom w:val="nil"/>
              <w:right w:val="nil"/>
            </w:tcBorders>
            <w:shd w:val="clear" w:color="000000" w:fill="C00000"/>
            <w:noWrap/>
            <w:vAlign w:val="center"/>
            <w:hideMark/>
          </w:tcPr>
          <w:p w14:paraId="4F0AA848" w14:textId="77777777" w:rsidR="00B54827" w:rsidRPr="003F5AFC"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3F5AFC">
              <w:rPr>
                <w:rFonts w:ascii="Arial" w:eastAsia="Times New Roman" w:hAnsi="Arial" w:cs="Arial"/>
                <w:b/>
                <w:bCs/>
                <w:color w:val="FFFFFF"/>
                <w:kern w:val="0"/>
                <w:sz w:val="20"/>
                <w:szCs w:val="20"/>
                <w:lang w:eastAsia="en-GB"/>
                <w14:ligatures w14:val="none"/>
              </w:rPr>
              <w:t>Sheet / Tab</w:t>
            </w:r>
          </w:p>
        </w:tc>
        <w:tc>
          <w:tcPr>
            <w:tcW w:w="2766" w:type="pct"/>
            <w:tcBorders>
              <w:top w:val="nil"/>
              <w:left w:val="nil"/>
              <w:bottom w:val="nil"/>
              <w:right w:val="nil"/>
            </w:tcBorders>
            <w:shd w:val="clear" w:color="000000" w:fill="C00000"/>
            <w:noWrap/>
            <w:vAlign w:val="center"/>
            <w:hideMark/>
          </w:tcPr>
          <w:p w14:paraId="66E6B13D" w14:textId="77777777" w:rsidR="00B54827" w:rsidRPr="003F5AFC"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3F5AFC">
              <w:rPr>
                <w:rFonts w:ascii="Arial" w:eastAsia="Times New Roman" w:hAnsi="Arial" w:cs="Arial"/>
                <w:b/>
                <w:bCs/>
                <w:color w:val="FFFFFF"/>
                <w:kern w:val="0"/>
                <w:sz w:val="20"/>
                <w:szCs w:val="20"/>
                <w:lang w:eastAsia="en-GB"/>
                <w14:ligatures w14:val="none"/>
              </w:rPr>
              <w:t>Content</w:t>
            </w:r>
          </w:p>
        </w:tc>
        <w:tc>
          <w:tcPr>
            <w:tcW w:w="1745" w:type="pct"/>
            <w:tcBorders>
              <w:top w:val="nil"/>
              <w:left w:val="nil"/>
              <w:bottom w:val="nil"/>
              <w:right w:val="nil"/>
            </w:tcBorders>
            <w:shd w:val="clear" w:color="000000" w:fill="C00000"/>
            <w:noWrap/>
            <w:vAlign w:val="center"/>
            <w:hideMark/>
          </w:tcPr>
          <w:p w14:paraId="3B2A5E42" w14:textId="77777777" w:rsidR="00B54827" w:rsidRPr="003F5AFC" w:rsidRDefault="00B54827" w:rsidP="00D45313">
            <w:pPr>
              <w:spacing w:after="0" w:line="240" w:lineRule="auto"/>
              <w:rPr>
                <w:rFonts w:ascii="Arial" w:eastAsia="Times New Roman" w:hAnsi="Arial" w:cs="Arial"/>
                <w:b/>
                <w:bCs/>
                <w:color w:val="FFFFFF"/>
                <w:kern w:val="0"/>
                <w:sz w:val="20"/>
                <w:szCs w:val="20"/>
                <w:lang w:eastAsia="en-GB"/>
                <w14:ligatures w14:val="none"/>
              </w:rPr>
            </w:pPr>
            <w:r w:rsidRPr="003F5AFC">
              <w:rPr>
                <w:rFonts w:ascii="Arial" w:eastAsia="Times New Roman" w:hAnsi="Arial" w:cs="Arial"/>
                <w:b/>
                <w:bCs/>
                <w:color w:val="FFFFFF"/>
                <w:kern w:val="0"/>
                <w:sz w:val="20"/>
                <w:szCs w:val="20"/>
                <w:lang w:eastAsia="en-GB"/>
                <w14:ligatures w14:val="none"/>
              </w:rPr>
              <w:t>Monte Carlo Use</w:t>
            </w:r>
          </w:p>
        </w:tc>
      </w:tr>
      <w:tr w:rsidR="00B54827" w:rsidRPr="003F5AFC" w14:paraId="5B408EF5" w14:textId="77777777" w:rsidTr="00D45313">
        <w:trPr>
          <w:trHeight w:val="624"/>
        </w:trPr>
        <w:tc>
          <w:tcPr>
            <w:tcW w:w="489" w:type="pct"/>
            <w:tcBorders>
              <w:top w:val="nil"/>
              <w:left w:val="nil"/>
              <w:bottom w:val="nil"/>
              <w:right w:val="nil"/>
            </w:tcBorders>
            <w:shd w:val="clear" w:color="auto" w:fill="auto"/>
            <w:noWrap/>
            <w:vAlign w:val="center"/>
            <w:hideMark/>
          </w:tcPr>
          <w:p w14:paraId="2D18BDC7"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DASHBOARD</w:t>
            </w:r>
          </w:p>
        </w:tc>
        <w:tc>
          <w:tcPr>
            <w:tcW w:w="2766" w:type="pct"/>
            <w:tcBorders>
              <w:top w:val="nil"/>
              <w:left w:val="nil"/>
              <w:bottom w:val="nil"/>
              <w:right w:val="nil"/>
            </w:tcBorders>
            <w:shd w:val="clear" w:color="auto" w:fill="auto"/>
            <w:noWrap/>
            <w:vAlign w:val="center"/>
            <w:hideMark/>
          </w:tcPr>
          <w:p w14:paraId="293536B6"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Summary dashboard: LCC P10/P50/P90, saving $225M, MILP optimal vs baseline; charts auto-update on recalculation</w:t>
            </w:r>
          </w:p>
        </w:tc>
        <w:tc>
          <w:tcPr>
            <w:tcW w:w="1745" w:type="pct"/>
            <w:tcBorders>
              <w:top w:val="nil"/>
              <w:left w:val="nil"/>
              <w:bottom w:val="nil"/>
              <w:right w:val="nil"/>
            </w:tcBorders>
            <w:shd w:val="clear" w:color="auto" w:fill="auto"/>
            <w:noWrap/>
            <w:vAlign w:val="center"/>
            <w:hideMark/>
          </w:tcPr>
          <w:p w14:paraId="7980BF87"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No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output display only</w:t>
            </w:r>
          </w:p>
        </w:tc>
      </w:tr>
      <w:tr w:rsidR="00B54827" w:rsidRPr="003F5AFC" w14:paraId="2A418A10" w14:textId="77777777" w:rsidTr="00D45313">
        <w:trPr>
          <w:trHeight w:val="624"/>
        </w:trPr>
        <w:tc>
          <w:tcPr>
            <w:tcW w:w="489" w:type="pct"/>
            <w:tcBorders>
              <w:top w:val="nil"/>
              <w:left w:val="nil"/>
              <w:bottom w:val="nil"/>
              <w:right w:val="nil"/>
            </w:tcBorders>
            <w:shd w:val="clear" w:color="auto" w:fill="auto"/>
            <w:noWrap/>
            <w:vAlign w:val="center"/>
            <w:hideMark/>
          </w:tcPr>
          <w:p w14:paraId="56B94304"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lastRenderedPageBreak/>
              <w:t>CER INPUTS</w:t>
            </w:r>
          </w:p>
        </w:tc>
        <w:tc>
          <w:tcPr>
            <w:tcW w:w="2766" w:type="pct"/>
            <w:tcBorders>
              <w:top w:val="nil"/>
              <w:left w:val="nil"/>
              <w:bottom w:val="nil"/>
              <w:right w:val="nil"/>
            </w:tcBorders>
            <w:shd w:val="clear" w:color="auto" w:fill="auto"/>
            <w:noWrap/>
            <w:vAlign w:val="center"/>
            <w:hideMark/>
          </w:tcPr>
          <w:p w14:paraId="1C4CCD84"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Seven CER equations with parameter cells (highlighted blue); adjustable coefficients; sensitivity sliders</w:t>
            </w:r>
          </w:p>
        </w:tc>
        <w:tc>
          <w:tcPr>
            <w:tcW w:w="1745" w:type="pct"/>
            <w:tcBorders>
              <w:top w:val="nil"/>
              <w:left w:val="nil"/>
              <w:bottom w:val="nil"/>
              <w:right w:val="nil"/>
            </w:tcBorders>
            <w:shd w:val="clear" w:color="auto" w:fill="auto"/>
            <w:noWrap/>
            <w:vAlign w:val="center"/>
            <w:hideMark/>
          </w:tcPr>
          <w:p w14:paraId="49750B5B"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Yes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define Assumptions on blue cells (launch cost, demand, reliability)</w:t>
            </w:r>
          </w:p>
        </w:tc>
      </w:tr>
      <w:tr w:rsidR="00B54827" w:rsidRPr="003F5AFC" w14:paraId="5D230036" w14:textId="77777777" w:rsidTr="00D45313">
        <w:trPr>
          <w:trHeight w:val="624"/>
        </w:trPr>
        <w:tc>
          <w:tcPr>
            <w:tcW w:w="489" w:type="pct"/>
            <w:tcBorders>
              <w:top w:val="nil"/>
              <w:left w:val="nil"/>
              <w:bottom w:val="nil"/>
              <w:right w:val="nil"/>
            </w:tcBorders>
            <w:shd w:val="clear" w:color="auto" w:fill="auto"/>
            <w:noWrap/>
            <w:vAlign w:val="center"/>
            <w:hideMark/>
          </w:tcPr>
          <w:p w14:paraId="2F5A3FC9"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LCC MODEL</w:t>
            </w:r>
          </w:p>
        </w:tc>
        <w:tc>
          <w:tcPr>
            <w:tcW w:w="2766" w:type="pct"/>
            <w:tcBorders>
              <w:top w:val="nil"/>
              <w:left w:val="nil"/>
              <w:bottom w:val="nil"/>
              <w:right w:val="nil"/>
            </w:tcBorders>
            <w:shd w:val="clear" w:color="auto" w:fill="auto"/>
            <w:noWrap/>
            <w:vAlign w:val="center"/>
            <w:hideMark/>
          </w:tcPr>
          <w:p w14:paraId="344DCFCC"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Full 84-period LCC calculation linking all 7 CERs; MILP schedule as input; ISRU ramp formula</w:t>
            </w:r>
          </w:p>
        </w:tc>
        <w:tc>
          <w:tcPr>
            <w:tcW w:w="1745" w:type="pct"/>
            <w:tcBorders>
              <w:top w:val="nil"/>
              <w:left w:val="nil"/>
              <w:bottom w:val="nil"/>
              <w:right w:val="nil"/>
            </w:tcBorders>
            <w:shd w:val="clear" w:color="auto" w:fill="auto"/>
            <w:noWrap/>
            <w:vAlign w:val="center"/>
            <w:hideMark/>
          </w:tcPr>
          <w:p w14:paraId="28298D6B"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Yes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LCC total cell = Crystal Ball Forecast cell</w:t>
            </w:r>
          </w:p>
        </w:tc>
      </w:tr>
      <w:tr w:rsidR="00B54827" w:rsidRPr="003F5AFC" w14:paraId="2B4F67DD" w14:textId="77777777" w:rsidTr="00D45313">
        <w:trPr>
          <w:trHeight w:val="624"/>
        </w:trPr>
        <w:tc>
          <w:tcPr>
            <w:tcW w:w="489" w:type="pct"/>
            <w:tcBorders>
              <w:top w:val="nil"/>
              <w:left w:val="nil"/>
              <w:bottom w:val="nil"/>
              <w:right w:val="nil"/>
            </w:tcBorders>
            <w:shd w:val="clear" w:color="auto" w:fill="auto"/>
            <w:noWrap/>
            <w:vAlign w:val="center"/>
            <w:hideMark/>
          </w:tcPr>
          <w:p w14:paraId="22CBF641"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MONTE CARLO</w:t>
            </w:r>
          </w:p>
        </w:tc>
        <w:tc>
          <w:tcPr>
            <w:tcW w:w="2766" w:type="pct"/>
            <w:tcBorders>
              <w:top w:val="nil"/>
              <w:left w:val="nil"/>
              <w:bottom w:val="nil"/>
              <w:right w:val="nil"/>
            </w:tcBorders>
            <w:shd w:val="clear" w:color="auto" w:fill="auto"/>
            <w:noWrap/>
            <w:vAlign w:val="center"/>
            <w:hideMark/>
          </w:tcPr>
          <w:p w14:paraId="05B2DEE7"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Pre-configured Crystal Ball/@ RISK distributions for 8 parameters (Table D.1); seed=42; n=10,000 trials</w:t>
            </w:r>
          </w:p>
        </w:tc>
        <w:tc>
          <w:tcPr>
            <w:tcW w:w="1745" w:type="pct"/>
            <w:tcBorders>
              <w:top w:val="nil"/>
              <w:left w:val="nil"/>
              <w:bottom w:val="nil"/>
              <w:right w:val="nil"/>
            </w:tcBorders>
            <w:shd w:val="clear" w:color="auto" w:fill="auto"/>
            <w:noWrap/>
            <w:vAlign w:val="center"/>
            <w:hideMark/>
          </w:tcPr>
          <w:p w14:paraId="3A1DFBBE"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Yes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run Simulation from add-in toolbar; Latin Hypercube sampling</w:t>
            </w:r>
          </w:p>
        </w:tc>
      </w:tr>
      <w:tr w:rsidR="00B54827" w:rsidRPr="003F5AFC" w14:paraId="5F995215" w14:textId="77777777" w:rsidTr="00D45313">
        <w:trPr>
          <w:trHeight w:val="624"/>
        </w:trPr>
        <w:tc>
          <w:tcPr>
            <w:tcW w:w="489" w:type="pct"/>
            <w:tcBorders>
              <w:top w:val="nil"/>
              <w:left w:val="nil"/>
              <w:bottom w:val="nil"/>
              <w:right w:val="nil"/>
            </w:tcBorders>
            <w:shd w:val="clear" w:color="auto" w:fill="auto"/>
            <w:noWrap/>
            <w:vAlign w:val="center"/>
            <w:hideMark/>
          </w:tcPr>
          <w:p w14:paraId="205059D6"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SENSITIVITY</w:t>
            </w:r>
          </w:p>
        </w:tc>
        <w:tc>
          <w:tcPr>
            <w:tcW w:w="2766" w:type="pct"/>
            <w:tcBorders>
              <w:top w:val="nil"/>
              <w:left w:val="nil"/>
              <w:bottom w:val="nil"/>
              <w:right w:val="nil"/>
            </w:tcBorders>
            <w:shd w:val="clear" w:color="auto" w:fill="auto"/>
            <w:noWrap/>
            <w:vAlign w:val="center"/>
            <w:hideMark/>
          </w:tcPr>
          <w:p w14:paraId="45932455"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Tornado chart data table; Sobol S</w:t>
            </w:r>
            <w:r w:rsidRPr="003F5AFC">
              <w:rPr>
                <w:rFonts w:ascii="Cambria Math" w:eastAsia="Times New Roman" w:hAnsi="Cambria Math" w:cs="Arial"/>
                <w:color w:val="000000"/>
                <w:kern w:val="0"/>
                <w:sz w:val="20"/>
                <w:szCs w:val="20"/>
                <w:lang w:eastAsia="en-GB"/>
                <w14:ligatures w14:val="none"/>
              </w:rPr>
              <w:t>₁</w:t>
            </w:r>
            <w:r w:rsidRPr="003F5AFC">
              <w:rPr>
                <w:rFonts w:ascii="Arial" w:eastAsia="Times New Roman" w:hAnsi="Arial" w:cs="Arial"/>
                <w:color w:val="000000"/>
                <w:kern w:val="0"/>
                <w:sz w:val="20"/>
                <w:szCs w:val="20"/>
                <w:lang w:eastAsia="en-GB"/>
                <w14:ligatures w14:val="none"/>
              </w:rPr>
              <w:t xml:space="preserve"> pre-loaded from Python results; parameter ranking</w:t>
            </w:r>
          </w:p>
        </w:tc>
        <w:tc>
          <w:tcPr>
            <w:tcW w:w="1745" w:type="pct"/>
            <w:tcBorders>
              <w:top w:val="nil"/>
              <w:left w:val="nil"/>
              <w:bottom w:val="nil"/>
              <w:right w:val="nil"/>
            </w:tcBorders>
            <w:shd w:val="clear" w:color="auto" w:fill="auto"/>
            <w:noWrap/>
            <w:vAlign w:val="center"/>
            <w:hideMark/>
          </w:tcPr>
          <w:p w14:paraId="38E5B68F"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No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pre-loaded from Python computation</w:t>
            </w:r>
          </w:p>
        </w:tc>
      </w:tr>
      <w:tr w:rsidR="00B54827" w:rsidRPr="003F5AFC" w14:paraId="23876C91" w14:textId="77777777" w:rsidTr="00D45313">
        <w:trPr>
          <w:trHeight w:val="624"/>
        </w:trPr>
        <w:tc>
          <w:tcPr>
            <w:tcW w:w="489" w:type="pct"/>
            <w:tcBorders>
              <w:top w:val="nil"/>
              <w:left w:val="nil"/>
              <w:bottom w:val="nil"/>
              <w:right w:val="nil"/>
            </w:tcBorders>
            <w:shd w:val="clear" w:color="auto" w:fill="auto"/>
            <w:noWrap/>
            <w:vAlign w:val="center"/>
            <w:hideMark/>
          </w:tcPr>
          <w:p w14:paraId="17EECA12"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SAFETY STOCK</w:t>
            </w:r>
          </w:p>
        </w:tc>
        <w:tc>
          <w:tcPr>
            <w:tcW w:w="2766" w:type="pct"/>
            <w:tcBorders>
              <w:top w:val="nil"/>
              <w:left w:val="nil"/>
              <w:bottom w:val="nil"/>
              <w:right w:val="nil"/>
            </w:tcBorders>
            <w:shd w:val="clear" w:color="auto" w:fill="auto"/>
            <w:noWrap/>
            <w:vAlign w:val="center"/>
            <w:hideMark/>
          </w:tcPr>
          <w:p w14:paraId="3ECAD13B"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EOQ-adapted safety stock calculator; k_s slider from 1.28 to 2.33; holding cost vs risk curve</w:t>
            </w:r>
          </w:p>
        </w:tc>
        <w:tc>
          <w:tcPr>
            <w:tcW w:w="1745" w:type="pct"/>
            <w:tcBorders>
              <w:top w:val="nil"/>
              <w:left w:val="nil"/>
              <w:bottom w:val="nil"/>
              <w:right w:val="nil"/>
            </w:tcBorders>
            <w:shd w:val="clear" w:color="auto" w:fill="auto"/>
            <w:noWrap/>
            <w:vAlign w:val="center"/>
            <w:hideMark/>
          </w:tcPr>
          <w:p w14:paraId="05C9A339"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Optional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single scenario</w:t>
            </w:r>
          </w:p>
        </w:tc>
      </w:tr>
      <w:tr w:rsidR="00B54827" w:rsidRPr="003F5AFC" w14:paraId="4D3023A2" w14:textId="77777777" w:rsidTr="00D45313">
        <w:trPr>
          <w:trHeight w:val="624"/>
        </w:trPr>
        <w:tc>
          <w:tcPr>
            <w:tcW w:w="489" w:type="pct"/>
            <w:tcBorders>
              <w:top w:val="nil"/>
              <w:left w:val="nil"/>
              <w:bottom w:val="nil"/>
              <w:right w:val="nil"/>
            </w:tcBorders>
            <w:shd w:val="clear" w:color="auto" w:fill="auto"/>
            <w:noWrap/>
            <w:vAlign w:val="center"/>
            <w:hideMark/>
          </w:tcPr>
          <w:p w14:paraId="1D5CCC9F"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ISRU MODEL</w:t>
            </w:r>
          </w:p>
        </w:tc>
        <w:tc>
          <w:tcPr>
            <w:tcW w:w="2766" w:type="pct"/>
            <w:tcBorders>
              <w:top w:val="nil"/>
              <w:left w:val="nil"/>
              <w:bottom w:val="nil"/>
              <w:right w:val="nil"/>
            </w:tcBorders>
            <w:shd w:val="clear" w:color="auto" w:fill="auto"/>
            <w:noWrap/>
            <w:vAlign w:val="center"/>
            <w:hideMark/>
          </w:tcPr>
          <w:p w14:paraId="0C22B05A" w14:textId="77777777" w:rsidR="00B54827" w:rsidRPr="003F5AFC" w:rsidRDefault="00B54827" w:rsidP="00D45313">
            <w:pPr>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ISRU NPV/IRR calculator; break-even year; 3 efficiency scenarios (60%/75%/90%)</w:t>
            </w:r>
          </w:p>
        </w:tc>
        <w:tc>
          <w:tcPr>
            <w:tcW w:w="1745" w:type="pct"/>
            <w:tcBorders>
              <w:top w:val="nil"/>
              <w:left w:val="nil"/>
              <w:bottom w:val="nil"/>
              <w:right w:val="nil"/>
            </w:tcBorders>
            <w:shd w:val="clear" w:color="auto" w:fill="auto"/>
            <w:noWrap/>
            <w:vAlign w:val="center"/>
            <w:hideMark/>
          </w:tcPr>
          <w:p w14:paraId="29D43634" w14:textId="77777777" w:rsidR="00B54827" w:rsidRPr="003F5AFC" w:rsidRDefault="00B54827" w:rsidP="00D45313">
            <w:pPr>
              <w:keepNext/>
              <w:spacing w:after="0" w:line="240" w:lineRule="auto"/>
              <w:rPr>
                <w:rFonts w:ascii="Arial" w:eastAsia="Times New Roman" w:hAnsi="Arial" w:cs="Arial"/>
                <w:color w:val="000000"/>
                <w:kern w:val="0"/>
                <w:sz w:val="20"/>
                <w:szCs w:val="20"/>
                <w:lang w:eastAsia="en-GB"/>
                <w14:ligatures w14:val="none"/>
              </w:rPr>
            </w:pPr>
            <w:r w:rsidRPr="003F5AFC">
              <w:rPr>
                <w:rFonts w:ascii="Arial" w:eastAsia="Times New Roman" w:hAnsi="Arial" w:cs="Arial"/>
                <w:color w:val="000000"/>
                <w:kern w:val="0"/>
                <w:sz w:val="20"/>
                <w:szCs w:val="20"/>
                <w:lang w:eastAsia="en-GB"/>
                <w14:ligatures w14:val="none"/>
              </w:rPr>
              <w:t xml:space="preserve">Optional </w:t>
            </w:r>
            <w:r>
              <w:rPr>
                <w:rFonts w:ascii="Arial" w:eastAsia="Times New Roman" w:hAnsi="Arial" w:cs="Arial"/>
                <w:color w:val="000000"/>
                <w:kern w:val="0"/>
                <w:sz w:val="20"/>
                <w:szCs w:val="20"/>
                <w:lang w:eastAsia="en-GB"/>
                <w14:ligatures w14:val="none"/>
              </w:rPr>
              <w:t>-</w:t>
            </w:r>
            <w:r w:rsidRPr="003F5AFC">
              <w:rPr>
                <w:rFonts w:ascii="Arial" w:eastAsia="Times New Roman" w:hAnsi="Arial" w:cs="Arial"/>
                <w:color w:val="000000"/>
                <w:kern w:val="0"/>
                <w:sz w:val="20"/>
                <w:szCs w:val="20"/>
                <w:lang w:eastAsia="en-GB"/>
                <w14:ligatures w14:val="none"/>
              </w:rPr>
              <w:t xml:space="preserve"> scenario analysis</w:t>
            </w:r>
          </w:p>
        </w:tc>
      </w:tr>
    </w:tbl>
    <w:p w14:paraId="4AD3E746" w14:textId="77777777" w:rsidR="00B54827" w:rsidRPr="005A3740" w:rsidRDefault="00B54827" w:rsidP="00B54827">
      <w:pPr>
        <w:pStyle w:val="Caption"/>
        <w:spacing w:before="240"/>
        <w:rPr>
          <w:rFonts w:ascii="Arial" w:eastAsia="Arial" w:hAnsi="Arial" w:cs="Arial"/>
          <w:i w:val="0"/>
          <w:iCs w:val="0"/>
          <w:color w:val="555555"/>
          <w:sz w:val="20"/>
          <w:szCs w:val="20"/>
        </w:rPr>
      </w:pPr>
      <w:r w:rsidRPr="00E81881">
        <w:rPr>
          <w:rFonts w:ascii="Arial" w:hAnsi="Arial" w:cs="Arial"/>
          <w:b/>
          <w:bCs/>
        </w:rPr>
        <w:t xml:space="preserve">Table F </w:t>
      </w:r>
      <w:r w:rsidRPr="00E81881">
        <w:rPr>
          <w:rFonts w:ascii="Arial" w:hAnsi="Arial" w:cs="Arial"/>
          <w:b/>
          <w:bCs/>
        </w:rPr>
        <w:fldChar w:fldCharType="begin"/>
      </w:r>
      <w:r w:rsidRPr="00E81881">
        <w:rPr>
          <w:rFonts w:ascii="Arial" w:hAnsi="Arial" w:cs="Arial"/>
          <w:b/>
          <w:bCs/>
        </w:rPr>
        <w:instrText xml:space="preserve"> SEQ Table_F \* ARABIC </w:instrText>
      </w:r>
      <w:r w:rsidRPr="00E81881">
        <w:rPr>
          <w:rFonts w:ascii="Arial" w:hAnsi="Arial" w:cs="Arial"/>
          <w:b/>
          <w:bCs/>
        </w:rPr>
        <w:fldChar w:fldCharType="separate"/>
      </w:r>
      <w:r>
        <w:rPr>
          <w:rFonts w:ascii="Arial" w:hAnsi="Arial" w:cs="Arial"/>
          <w:b/>
          <w:bCs/>
          <w:noProof/>
        </w:rPr>
        <w:t>4</w:t>
      </w:r>
      <w:r w:rsidRPr="00E81881">
        <w:rPr>
          <w:rFonts w:ascii="Arial" w:hAnsi="Arial" w:cs="Arial"/>
          <w:b/>
          <w:bCs/>
        </w:rPr>
        <w:fldChar w:fldCharType="end"/>
      </w:r>
      <w:r w:rsidRPr="00E81881">
        <w:rPr>
          <w:rFonts w:ascii="Arial" w:hAnsi="Arial" w:cs="Arial"/>
        </w:rPr>
        <w:t xml:space="preserve"> Gateway Cost Model Excel - sheet contents and Crystal Ball/@RISK Monte Carlo usage</w:t>
      </w:r>
    </w:p>
    <w:p w14:paraId="3E5C5813" w14:textId="77777777" w:rsidR="00B54827" w:rsidRDefault="00B54827" w:rsidP="00B54827">
      <w:pPr>
        <w:spacing w:after="100" w:line="264" w:lineRule="auto"/>
        <w:jc w:val="both"/>
      </w:pPr>
      <w:r>
        <w:rPr>
          <w:rFonts w:ascii="Arial" w:eastAsia="Arial" w:hAnsi="Arial" w:cs="Arial"/>
          <w:sz w:val="22"/>
          <w:szCs w:val="22"/>
        </w:rPr>
        <w:t xml:space="preserve">To run Monte Carlo simulation: (1) Open </w:t>
      </w:r>
      <w:r>
        <w:rPr>
          <w:rFonts w:ascii="Arial" w:eastAsia="Arial" w:hAnsi="Arial" w:cs="Arial"/>
          <w:b/>
          <w:bCs/>
          <w:sz w:val="22"/>
          <w:szCs w:val="22"/>
        </w:rPr>
        <w:t>Gateway_Cost_Model_Interactive.xlsx</w:t>
      </w:r>
      <w:r>
        <w:rPr>
          <w:rFonts w:ascii="Arial" w:eastAsia="Arial" w:hAnsi="Arial" w:cs="Arial"/>
          <w:sz w:val="22"/>
          <w:szCs w:val="22"/>
        </w:rPr>
        <w:t xml:space="preserve"> in Excel with Crystal Ball or @RISK add-in installed; (2) Navigate to MONTE CARLO sheet; (3) Blue cells are Assumptions (input distributions already defined); (4) Yellow cell (LCC Total) is the Forecast cell; (5) Click Run Simulation (n=10,000, Latin Hypercube, seed=42); (6) Results match dissertation P10=$1,210M, P50=$1,472M, P90=$1,820M.</w:t>
      </w:r>
    </w:p>
    <w:p w14:paraId="0606F26F" w14:textId="77777777" w:rsidR="00D73D98" w:rsidRDefault="00D73D98"/>
    <w:sectPr w:rsidR="00D73D98" w:rsidSect="00B548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27"/>
    <w:rsid w:val="003B1666"/>
    <w:rsid w:val="003F38EC"/>
    <w:rsid w:val="00443468"/>
    <w:rsid w:val="005E1F97"/>
    <w:rsid w:val="006A1902"/>
    <w:rsid w:val="00A30BEA"/>
    <w:rsid w:val="00B0557A"/>
    <w:rsid w:val="00B40187"/>
    <w:rsid w:val="00B402BE"/>
    <w:rsid w:val="00B54827"/>
    <w:rsid w:val="00BD4C79"/>
    <w:rsid w:val="00C0201C"/>
    <w:rsid w:val="00D73D98"/>
    <w:rsid w:val="00D80049"/>
    <w:rsid w:val="00E46E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76D5"/>
  <w15:chartTrackingRefBased/>
  <w15:docId w15:val="{38C7C140-48AF-7046-B13A-69FA64EC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827"/>
  </w:style>
  <w:style w:type="paragraph" w:styleId="Heading1">
    <w:name w:val="heading 1"/>
    <w:basedOn w:val="Normal"/>
    <w:next w:val="Normal"/>
    <w:link w:val="Heading1Char"/>
    <w:uiPriority w:val="9"/>
    <w:qFormat/>
    <w:rsid w:val="00B54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4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4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827"/>
    <w:rPr>
      <w:rFonts w:eastAsiaTheme="majorEastAsia" w:cstheme="majorBidi"/>
      <w:color w:val="272727" w:themeColor="text1" w:themeTint="D8"/>
    </w:rPr>
  </w:style>
  <w:style w:type="paragraph" w:styleId="Title">
    <w:name w:val="Title"/>
    <w:basedOn w:val="Normal"/>
    <w:next w:val="Normal"/>
    <w:link w:val="TitleChar"/>
    <w:uiPriority w:val="10"/>
    <w:qFormat/>
    <w:rsid w:val="00B5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827"/>
    <w:pPr>
      <w:spacing w:before="160"/>
      <w:jc w:val="center"/>
    </w:pPr>
    <w:rPr>
      <w:i/>
      <w:iCs/>
      <w:color w:val="404040" w:themeColor="text1" w:themeTint="BF"/>
    </w:rPr>
  </w:style>
  <w:style w:type="character" w:customStyle="1" w:styleId="QuoteChar">
    <w:name w:val="Quote Char"/>
    <w:basedOn w:val="DefaultParagraphFont"/>
    <w:link w:val="Quote"/>
    <w:uiPriority w:val="29"/>
    <w:rsid w:val="00B54827"/>
    <w:rPr>
      <w:i/>
      <w:iCs/>
      <w:color w:val="404040" w:themeColor="text1" w:themeTint="BF"/>
    </w:rPr>
  </w:style>
  <w:style w:type="paragraph" w:styleId="ListParagraph">
    <w:name w:val="List Paragraph"/>
    <w:basedOn w:val="Normal"/>
    <w:uiPriority w:val="34"/>
    <w:qFormat/>
    <w:rsid w:val="00B54827"/>
    <w:pPr>
      <w:ind w:left="720"/>
      <w:contextualSpacing/>
    </w:pPr>
  </w:style>
  <w:style w:type="character" w:styleId="IntenseEmphasis">
    <w:name w:val="Intense Emphasis"/>
    <w:basedOn w:val="DefaultParagraphFont"/>
    <w:uiPriority w:val="21"/>
    <w:qFormat/>
    <w:rsid w:val="00B54827"/>
    <w:rPr>
      <w:i/>
      <w:iCs/>
      <w:color w:val="0F4761" w:themeColor="accent1" w:themeShade="BF"/>
    </w:rPr>
  </w:style>
  <w:style w:type="paragraph" w:styleId="IntenseQuote">
    <w:name w:val="Intense Quote"/>
    <w:basedOn w:val="Normal"/>
    <w:next w:val="Normal"/>
    <w:link w:val="IntenseQuoteChar"/>
    <w:uiPriority w:val="30"/>
    <w:qFormat/>
    <w:rsid w:val="00B54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827"/>
    <w:rPr>
      <w:i/>
      <w:iCs/>
      <w:color w:val="0F4761" w:themeColor="accent1" w:themeShade="BF"/>
    </w:rPr>
  </w:style>
  <w:style w:type="character" w:styleId="IntenseReference">
    <w:name w:val="Intense Reference"/>
    <w:basedOn w:val="DefaultParagraphFont"/>
    <w:uiPriority w:val="32"/>
    <w:qFormat/>
    <w:rsid w:val="00B54827"/>
    <w:rPr>
      <w:b/>
      <w:bCs/>
      <w:smallCaps/>
      <w:color w:val="0F4761" w:themeColor="accent1" w:themeShade="BF"/>
      <w:spacing w:val="5"/>
    </w:rPr>
  </w:style>
  <w:style w:type="paragraph" w:styleId="Caption">
    <w:name w:val="caption"/>
    <w:basedOn w:val="Normal"/>
    <w:next w:val="Normal"/>
    <w:uiPriority w:val="35"/>
    <w:unhideWhenUsed/>
    <w:qFormat/>
    <w:rsid w:val="00B54827"/>
    <w:pPr>
      <w:spacing w:after="200" w:line="240" w:lineRule="auto"/>
    </w:pPr>
    <w:rPr>
      <w:i/>
      <w:iCs/>
      <w:color w:val="0E2841" w:themeColor="text2"/>
      <w:sz w:val="18"/>
      <w:szCs w:val="18"/>
    </w:rPr>
  </w:style>
  <w:style w:type="character" w:styleId="Hyperlink">
    <w:name w:val="Hyperlink"/>
    <w:basedOn w:val="DefaultParagraphFont"/>
    <w:uiPriority w:val="99"/>
    <w:unhideWhenUsed/>
    <w:rsid w:val="00B401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agzimmer/lunar-gateway-supply-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Pazhanivel, Jagathguru</dc:creator>
  <cp:keywords/>
  <dc:description/>
  <cp:lastModifiedBy>Pazhanivel, Jagathguru</cp:lastModifiedBy>
  <cp:revision>2</cp:revision>
  <dcterms:created xsi:type="dcterms:W3CDTF">2026-04-26T11:07:00Z</dcterms:created>
  <dcterms:modified xsi:type="dcterms:W3CDTF">2026-04-26T11:07:00Z</dcterms:modified>
</cp:coreProperties>
</file>