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title:</w:t>
      </w:r>
      <w:r>
        <w:t xml:space="preserve"> </w:t>
      </w:r>
      <w:r>
        <w:t xml:space="preserve">it</w:t>
      </w:r>
      <w:r>
        <w:t xml:space="preserve"> </w:t>
      </w:r>
      <w:r>
        <w:t xml:space="preserve">contains</w:t>
      </w:r>
      <w:r>
        <w:t xml:space="preserve"> </w:t>
      </w:r>
      <w:r>
        <w:t xml:space="preserve">a</w:t>
      </w:r>
      <w:r>
        <w:t xml:space="preserve"> </w:t>
      </w:r>
      <w:r>
        <w:t xml:space="preserve">colon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One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Two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my introduction. In the next sentence we will reference tbl. 1.</w:t>
      </w:r>
    </w:p>
    <w:bookmarkEnd w:id="20"/>
    <w:bookmarkStart w:id="21" w:name="another-section"/>
    <w:p>
      <w:pPr>
        <w:pStyle w:val="Heading1"/>
      </w:pPr>
      <w:r>
        <w:t xml:space="preserve">Another Section</w:t>
      </w:r>
    </w:p>
    <w:p>
      <w:pPr>
        <w:pStyle w:val="FirstParagraph"/>
      </w:pPr>
      <w:r>
        <w:t xml:space="preserve">We progress to another section, where we want to get people to see</w:t>
      </w:r>
      <w:r>
        <w:t xml:space="preserve"> </w:t>
      </w:r>
      <w:r>
        <w:t xml:space="preserve">(1)</w:t>
      </w:r>
      <w:r>
        <w:t xml:space="preserve">.</w:t>
      </w:r>
      <w:r>
        <w:t xml:space="preserve"> </w:t>
      </w:r>
      <w:r>
        <w:t xml:space="preserve">We then reiterate a claim made in the paper</w:t>
      </w:r>
      <w:r>
        <w:t xml:space="preserve"> </w:t>
      </w:r>
      <w:r>
        <w:t xml:space="preserve">(1)</w:t>
      </w:r>
      <w:r>
        <w:t xml:space="preserve">.</w:t>
      </w:r>
      <w:r>
        <w:t xml:space="preserve"> </w:t>
      </w:r>
      <w:r>
        <w:t xml:space="preserve">Then we reference tbl. 2.</w:t>
      </w:r>
    </w:p>
    <w:bookmarkEnd w:id="21"/>
    <w:bookmarkStart w:id="23" w:name="a-section-for-figures"/>
    <w:p>
      <w:pPr>
        <w:pStyle w:val="Heading1"/>
      </w:pPr>
      <w:r>
        <w:t xml:space="preserve">A Section for Figures</w:t>
      </w:r>
    </w:p>
    <w:p>
      <w:pPr>
        <w:pStyle w:val="FirstParagraph"/>
      </w:pPr>
      <w:r>
        <w:t xml:space="preserve">This is a great and solid section.</w:t>
      </w:r>
      <w:r>
        <w:t xml:space="preserve"> </w:t>
      </w:r>
      <w:r>
        <w:t xml:space="preserve">For example, we have these figures fig. 1.</w:t>
      </w:r>
      <w:r>
        <w:t xml:space="preserve"> </w:t>
      </w:r>
      <w:r>
        <w:t xml:space="preserve">Then we can incorporate some math like</w:t>
      </w:r>
      <w:r>
        <w:t xml:space="preserve"> </w:t>
      </w:r>
      <m:oMath>
        <m:r>
          <m:t>λ</m:t>
        </m:r>
        <m:r>
          <m:t>x</m:t>
        </m:r>
        <m:r>
          <m:rPr>
            <m:sty m:val="p"/>
          </m:rPr>
          <m:t>=</m:t>
        </m:r>
        <m:r>
          <m:t>A</m:t>
        </m:r>
        <m:r>
          <m:t>x</m:t>
        </m:r>
      </m:oMath>
      <w:r>
        <w:t xml:space="preserve">.</w:t>
      </w:r>
    </w:p>
    <w:bookmarkStart w:id="22" w:name="a-subheading-for-the-sake-of-it"/>
    <w:p>
      <w:pPr>
        <w:pStyle w:val="Heading2"/>
      </w:pPr>
      <w:r>
        <w:t xml:space="preserve">A subheading for the sake of it</w:t>
      </w:r>
    </w:p>
    <w:p>
      <w:pPr>
        <w:pStyle w:val="FirstParagraph"/>
      </w:pPr>
      <w:r>
        <w:t xml:space="preserve">We continue writing for no reason.</w:t>
      </w:r>
      <w:r>
        <w:t xml:space="preserve"> </w:t>
      </w:r>
      <w:r>
        <w:t xml:space="preserve">We display a set of figues in fig. 2.</w:t>
      </w:r>
      <w:r>
        <w:t xml:space="preserve"> </w:t>
      </w:r>
      <w:r>
        <w:t xml:space="preserve">Note we can subreference fig. 2 (a) and fig. 2 (b).</w:t>
      </w:r>
    </w:p>
    <w:bookmarkEnd w:id="22"/>
    <w:bookmarkEnd w:id="23"/>
    <w:bookmarkStart w:id="24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We make some concluding remarks.</w:t>
      </w:r>
    </w:p>
    <w:p>
      <w:r>
        <w:br w:type="page"/>
      </w:r>
    </w:p>
    <w:bookmarkEnd w:id="24"/>
    <w:p>
      <w:pPr>
        <w:pStyle w:val="Heading1"/>
      </w:pPr>
      <w:r>
        <w:t xml:space="preserve">Tables</w:t>
      </w:r>
    </w:p>
    <w:bookmarkStart w:id="25" w:name="tbl:table1"/>
    <w:p>
      <w:pPr>
        <w:pStyle w:val="TableCaption"/>
      </w:pPr>
      <w:r>
        <w:t xml:space="preserve">Table 1: Table example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Table exampl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Syntax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</w:tr>
    </w:tbl>
    <w:bookmarkEnd w:id="25"/>
    <w:p>
      <w:r>
        <w:br w:type="page"/>
      </w:r>
    </w:p>
    <w:bookmarkStart w:id="26" w:name="tbl:table2"/>
    <w:p>
      <w:pPr>
        <w:pStyle w:val="TableCaption"/>
      </w:pPr>
      <w:r>
        <w:t xml:space="preserve">Table 2: This is a table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This is a table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top level 1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top level 2</w:t>
            </w:r>
          </w:p>
        </w:tc>
      </w:tr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bottom level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bottom level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bottom level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bottom level 4</w:t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idx lvl 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idx</w:t>
            </w:r>
            <w:r>
              <w:t xml:space="preserve"> </w:t>
            </w:r>
            <w:r>
              <w:t xml:space="preserve">lvl 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idx</w:t>
            </w:r>
            <w:r>
              <w:t xml:space="preserve"> </w:t>
            </w:r>
            <w:r>
              <w:t xml:space="preserve">lvl 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idx</w:t>
            </w:r>
            <w:r>
              <w:t xml:space="preserve"> </w:t>
            </w:r>
            <w:r>
              <w:t xml:space="preserve">lvl 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idx</w:t>
            </w:r>
            <w:r>
              <w:t xml:space="preserve"> </w:t>
            </w:r>
            <w:r>
              <w:t xml:space="preserve">lvl 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idx</w:t>
            </w:r>
            <w:r>
              <w:t xml:space="preserve"> </w:t>
            </w:r>
            <w:r>
              <w:t xml:space="preserve">lvl 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idx</w:t>
            </w:r>
            <w:r>
              <w:t xml:space="preserve"> </w:t>
            </w:r>
            <w:r>
              <w:t xml:space="preserve">lvl 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26"/>
    <w:p>
      <w:r>
        <w:br w:type="page"/>
      </w:r>
    </w:p>
    <w:p>
      <w:pPr>
        <w:pStyle w:val="Heading1"/>
      </w:pPr>
      <w:r>
        <w:t xml:space="preserve">Figures</w:t>
      </w:r>
    </w:p>
    <w:p>
      <w:pPr>
        <w:pStyle w:val="CaptionedFigure"/>
      </w:pPr>
      <w:bookmarkStart w:id="28" w:name="fig:figure1"/>
      <w:r>
        <w:drawing>
          <wp:inline>
            <wp:extent cx="3492500" cy="2324100"/>
            <wp:effectExtent b="0" l="0" r="0" t="0"/>
            <wp:docPr descr="Figure 1: An example figure" title="" id="1" name="Picture"/>
            <a:graphic>
              <a:graphicData uri="http://schemas.openxmlformats.org/drawingml/2006/picture">
                <pic:pic>
                  <pic:nvPicPr>
                    <pic:cNvPr descr="./figures/dogs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An example figure</w:t>
      </w:r>
    </w:p>
    <w:p>
      <w:r>
        <w:br w:type="page"/>
      </w:r>
    </w:p>
    <w:bookmarkStart w:id="32" w:name="fig:subfigures"/>
    <w:p>
      <w:pPr>
        <w:pStyle w:val="CaptionedFigure"/>
      </w:pPr>
      <w:bookmarkStart w:id="29" w:name="fig:subfigureA"/>
      <w:r>
        <w:drawing>
          <wp:inline>
            <wp:extent cx="3492500" cy="2324100"/>
            <wp:effectExtent b="0" l="0" r="0" t="0"/>
            <wp:docPr descr="a" title="" id="1" name="Picture"/>
            <a:graphic>
              <a:graphicData uri="http://schemas.openxmlformats.org/drawingml/2006/picture">
                <pic:pic>
                  <pic:nvPicPr>
                    <pic:cNvPr descr="./figures/dogs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a</w:t>
      </w:r>
    </w:p>
    <w:p>
      <w:pPr>
        <w:pStyle w:val="CaptionedFigure"/>
      </w:pPr>
      <w:bookmarkStart w:id="31" w:name="fig:subfigureB"/>
      <w:r>
        <w:drawing>
          <wp:inline>
            <wp:extent cx="2882900" cy="2819400"/>
            <wp:effectExtent b="0" l="0" r="0" t="0"/>
            <wp:docPr descr="b" title="" id="1" name="Picture"/>
            <a:graphic>
              <a:graphicData uri="http://schemas.openxmlformats.org/drawingml/2006/picture">
                <pic:pic>
                  <pic:nvPicPr>
                    <pic:cNvPr descr="./figures/dogs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b</w:t>
      </w:r>
    </w:p>
    <w:p>
      <w:pPr>
        <w:pStyle w:val="ImageCaption"/>
      </w:pPr>
      <w:r>
        <w:t xml:space="preserve">Figure 2: Overarching subfigure caption. a — 2 dogs, b — 3 dogs</w:t>
      </w:r>
    </w:p>
    <w:bookmarkEnd w:id="32"/>
    <w:p>
      <w:r>
        <w:br w:type="page"/>
      </w:r>
    </w:p>
    <w:bookmarkStart w:id="36" w:name="references"/>
    <w:p>
      <w:pPr>
        <w:pStyle w:val="Heading1"/>
      </w:pPr>
      <w:r>
        <w:t xml:space="preserve">References</w:t>
      </w:r>
    </w:p>
    <w:bookmarkStart w:id="35" w:name="refs"/>
    <w:bookmarkStart w:id="34" w:name="ref-bhatt_linear_2006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Bhatt AG. Linear filtering with</w:t>
      </w:r>
      <w:r>
        <w:t xml:space="preserve"> </w:t>
      </w:r>
      <w:r>
        <w:t xml:space="preserve">Ornstein</w:t>
      </w:r>
      <w:r>
        <w:t xml:space="preserve">-</w:t>
      </w:r>
      <w:r>
        <w:t xml:space="preserve">Ulhenbeck</w:t>
      </w:r>
      <w:r>
        <w:t xml:space="preserve"> </w:t>
      </w:r>
      <w:r>
        <w:t xml:space="preserve">process as noise. Sadhana [Internet]. 2006 Apr;31(2):141–53. Available from:</w:t>
      </w:r>
      <w:r>
        <w:t xml:space="preserve"> </w:t>
      </w:r>
      <w:hyperlink r:id="rId33">
        <w:r>
          <w:rPr>
            <w:rStyle w:val="Hyperlink"/>
          </w:rPr>
          <w:t xml:space="preserve">https://doi.org/10.1007/BF02719778</w:t>
        </w:r>
      </w:hyperlink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000000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000000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000000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000000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000000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000000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000000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00000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00000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hyperlink" Id="rId33" Target="https://doi.org/10.1007/BF0271977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oi.org/10.1007/BF027197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MU Serif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MU Serif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title: it contains a colon</dc:title>
  <dc:creator>Author One; Author Two</dc:creator>
  <cp:keywords>nothing, nothingness</cp:keywords>
  <dcterms:created xsi:type="dcterms:W3CDTF">2021-10-30T05:25:54Z</dcterms:created>
  <dcterms:modified xsi:type="dcterms:W3CDTF">2021-10-30T05:25:54Z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abstract.It consists of two paragraphs.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bibliography">
    <vt:lpwstr>references.bib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csl/vancouver.csl</vt:lpwstr>
  </property>
  <property fmtid="{D5CDD505-2E9C-101B-9397-08002B2CF9AE}" pid="16" name="eq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equationNumberTeX">
    <vt:lpwstr>qquad</vt:lpwstr>
  </property>
  <property fmtid="{D5CDD505-2E9C-101B-9397-08002B2CF9AE}" pid="20" name="figLabels">
    <vt:lpwstr>arabic</vt:lpwstr>
  </property>
  <property fmtid="{D5CDD505-2E9C-101B-9397-08002B2CF9AE}" pid="21" name="figPrefix">
    <vt:lpwstr/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lastDelim">
    <vt:lpwstr>, </vt:lpwstr>
  </property>
  <property fmtid="{D5CDD505-2E9C-101B-9397-08002B2CF9AE}" pid="26" name="linkReferences">
    <vt:lpwstr>False</vt:lpwstr>
  </property>
  <property fmtid="{D5CDD505-2E9C-101B-9397-08002B2CF9AE}" pid="27" name="listingTemplate">
    <vt:lpwstr>listingTitle ititleDelim t</vt:lpwstr>
  </property>
  <property fmtid="{D5CDD505-2E9C-101B-9397-08002B2CF9AE}" pid="28" name="listingTitle">
    <vt:lpwstr>Listing</vt:lpwstr>
  </property>
  <property fmtid="{D5CDD505-2E9C-101B-9397-08002B2CF9AE}" pid="29" name="listings">
    <vt:lpwstr>False</vt:lpwstr>
  </property>
  <property fmtid="{D5CDD505-2E9C-101B-9397-08002B2CF9AE}" pid="30" name="lofTitle">
    <vt:lpwstr>List of Figures</vt:lpwstr>
  </property>
  <property fmtid="{D5CDD505-2E9C-101B-9397-08002B2CF9AE}" pid="31" name="lolTitle">
    <vt:lpwstr>List of Listings</vt:lpwstr>
  </property>
  <property fmtid="{D5CDD505-2E9C-101B-9397-08002B2CF9AE}" pid="32" name="lotTitle">
    <vt:lpwstr>List of Tables</vt:lpwstr>
  </property>
  <property fmtid="{D5CDD505-2E9C-101B-9397-08002B2CF9AE}" pid="33" name="lstLabels">
    <vt:lpwstr>arabic</vt:lpwstr>
  </property>
  <property fmtid="{D5CDD505-2E9C-101B-9397-08002B2CF9AE}" pid="34" name="lstPrefix">
    <vt:lpwstr/>
  </property>
  <property fmtid="{D5CDD505-2E9C-101B-9397-08002B2CF9AE}" pid="35" name="lstPrefixTemplate">
    <vt:lpwstr>p i</vt:lpwstr>
  </property>
  <property fmtid="{D5CDD505-2E9C-101B-9397-08002B2CF9AE}" pid="36" name="nameInLink">
    <vt:lpwstr>False</vt:lpwstr>
  </property>
  <property fmtid="{D5CDD505-2E9C-101B-9397-08002B2CF9AE}" pid="37" name="numberSections">
    <vt:lpwstr>False</vt:lpwstr>
  </property>
  <property fmtid="{D5CDD505-2E9C-101B-9397-08002B2CF9AE}" pid="38" name="pairDelim">
    <vt:lpwstr>, </vt:lpwstr>
  </property>
  <property fmtid="{D5CDD505-2E9C-101B-9397-08002B2CF9AE}" pid="39" name="rangeDelim">
    <vt:lpwstr>-</vt:lpwstr>
  </property>
  <property fmtid="{D5CDD505-2E9C-101B-9397-08002B2CF9AE}" pid="40" name="refDelim">
    <vt:lpwstr>, </vt:lpwstr>
  </property>
  <property fmtid="{D5CDD505-2E9C-101B-9397-08002B2CF9AE}" pid="41" name="refIndexTemplate">
    <vt:lpwstr>isuf</vt:lpwstr>
  </property>
  <property fmtid="{D5CDD505-2E9C-101B-9397-08002B2CF9AE}" pid="42" name="secHeaderDelim">
    <vt:lpwstr> </vt:lpwstr>
  </property>
  <property fmtid="{D5CDD505-2E9C-101B-9397-08002B2CF9AE}" pid="43" name="secHeaderTemplate">
    <vt:lpwstr>isecHeaderDelim[n]t</vt:lpwstr>
  </property>
  <property fmtid="{D5CDD505-2E9C-101B-9397-08002B2CF9AE}" pid="44" name="secLabels">
    <vt:lpwstr>arabic</vt:lpwstr>
  </property>
  <property fmtid="{D5CDD505-2E9C-101B-9397-08002B2CF9AE}" pid="45" name="secPrefix">
    <vt:lpwstr/>
  </property>
  <property fmtid="{D5CDD505-2E9C-101B-9397-08002B2CF9AE}" pid="46" name="secPrefixTemplate">
    <vt:lpwstr>p i</vt:lpwstr>
  </property>
  <property fmtid="{D5CDD505-2E9C-101B-9397-08002B2CF9AE}" pid="47" name="sectionsDepth">
    <vt:lpwstr>0</vt:lpwstr>
  </property>
  <property fmtid="{D5CDD505-2E9C-101B-9397-08002B2CF9AE}" pid="48" name="subfigGrid">
    <vt:lpwstr>False</vt:lpwstr>
  </property>
  <property fmtid="{D5CDD505-2E9C-101B-9397-08002B2CF9AE}" pid="49" name="subfigLabels">
    <vt:lpwstr>alpha a</vt:lpwstr>
  </property>
  <property fmtid="{D5CDD505-2E9C-101B-9397-08002B2CF9AE}" pid="50" name="subfigureChildTemplate">
    <vt:lpwstr>i</vt:lpwstr>
  </property>
  <property fmtid="{D5CDD505-2E9C-101B-9397-08002B2CF9AE}" pid="51" name="subfigureRefIndexTemplate">
    <vt:lpwstr>isuf (s)</vt:lpwstr>
  </property>
  <property fmtid="{D5CDD505-2E9C-101B-9397-08002B2CF9AE}" pid="52" name="subfigureTemplate">
    <vt:lpwstr>figureTitle ititleDelim t. ccs</vt:lpwstr>
  </property>
  <property fmtid="{D5CDD505-2E9C-101B-9397-08002B2CF9AE}" pid="53" name="tableEqns">
    <vt:lpwstr>False</vt:lpwstr>
  </property>
  <property fmtid="{D5CDD505-2E9C-101B-9397-08002B2CF9AE}" pid="54" name="tableTemplate">
    <vt:lpwstr>tableTitle ititleDelim t</vt:lpwstr>
  </property>
  <property fmtid="{D5CDD505-2E9C-101B-9397-08002B2CF9AE}" pid="55" name="tableTitle">
    <vt:lpwstr>Table</vt:lpwstr>
  </property>
  <property fmtid="{D5CDD505-2E9C-101B-9397-08002B2CF9AE}" pid="56" name="tblLabels">
    <vt:lpwstr>arabic</vt:lpwstr>
  </property>
  <property fmtid="{D5CDD505-2E9C-101B-9397-08002B2CF9AE}" pid="57" name="tblPrefix">
    <vt:lpwstr/>
  </property>
  <property fmtid="{D5CDD505-2E9C-101B-9397-08002B2CF9AE}" pid="58" name="tblPrefixTemplate">
    <vt:lpwstr>p i</vt:lpwstr>
  </property>
  <property fmtid="{D5CDD505-2E9C-101B-9397-08002B2CF9AE}" pid="59" name="titleDelim">
    <vt:lpwstr>:</vt:lpwstr>
  </property>
</Properties>
</file>