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my introduction. In the next sentence we will reference tbl. 1.</w:t>
      </w:r>
    </w:p>
    <w:bookmarkEnd w:id="20"/>
    <w:bookmarkStart w:id="21" w:name="another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Another Section</w:t>
      </w:r>
    </w:p>
    <w:p>
      <w:pPr>
        <w:pStyle w:val="FirstParagraph"/>
      </w:pPr>
      <w:r>
        <w:t xml:space="preserve">We progress to another section, where we want to get people to see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We then reiterate a claim made in the paper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Then we reference tbl. 2.</w:t>
      </w:r>
    </w:p>
    <w:bookmarkEnd w:id="21"/>
    <w:bookmarkStart w:id="23" w:name="a-section-for-figu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 Section for Figures</w:t>
      </w:r>
    </w:p>
    <w:p>
      <w:pPr>
        <w:pStyle w:val="FirstParagraph"/>
      </w:pPr>
      <w:r>
        <w:t xml:space="preserve">This is a great and solid section.</w:t>
      </w:r>
      <w:r>
        <w:t xml:space="preserve"> </w:t>
      </w:r>
      <w:r>
        <w:t xml:space="preserve">For example, we have these figures fig. 1.</w:t>
      </w:r>
      <w:r>
        <w:t xml:space="preserve"> </w:t>
      </w:r>
      <w:r>
        <w:t xml:space="preserve">Then we can incorporate some math like</w:t>
      </w:r>
      <w:r>
        <w:t xml:space="preserve"> </w:t>
      </w:r>
      <m:oMath>
        <m:r>
          <m:t>λ</m:t>
        </m:r>
        <m:r>
          <m:t>x</m:t>
        </m:r>
        <m:r>
          <m:rPr>
            <m:sty m:val="p"/>
          </m:rPr>
          <m:t>=</m:t>
        </m:r>
        <m:r>
          <m:t>A</m:t>
        </m:r>
        <m:r>
          <m:t>x</m:t>
        </m:r>
      </m:oMath>
      <w:r>
        <w:t xml:space="preserve">.</w:t>
      </w:r>
    </w:p>
    <w:bookmarkStart w:id="22" w:name="a-subheading-for-the-sake-of-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subheading for the sake of it</w:t>
      </w:r>
    </w:p>
    <w:p>
      <w:pPr>
        <w:pStyle w:val="FirstParagraph"/>
      </w:pPr>
      <w:r>
        <w:t xml:space="preserve">We continue writing for no reason.</w:t>
      </w:r>
      <w:r>
        <w:t xml:space="preserve"> </w:t>
      </w:r>
      <w:r>
        <w:t xml:space="preserve">We display a set of figues in fig. 2.</w:t>
      </w:r>
      <w:r>
        <w:t xml:space="preserve"> </w:t>
      </w:r>
      <w:r>
        <w:t xml:space="preserve">Note we can subreference fig. 2 (a) and fig. 2 (b).</w:t>
      </w:r>
    </w:p>
    <w:bookmarkEnd w:id="22"/>
    <w:bookmarkEnd w:id="23"/>
    <w:bookmarkStart w:id="24" w:name="conclusio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Conclusions</w:t>
      </w:r>
    </w:p>
    <w:p>
      <w:pPr>
        <w:pStyle w:val="FirstParagraph"/>
      </w:pPr>
      <w:r>
        <w:t xml:space="preserve">We make some concluding remarks.</w:t>
      </w:r>
    </w:p>
    <w:bookmarkEnd w:id="24"/>
    <w:bookmarkStart w:id="28" w:name="referen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bookmarkStart w:id="27" w:name="refs"/>
    <w:bookmarkStart w:id="26" w:name="ref-bhatt_linear_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Bhatt AG. Linear filtering with</w:t>
      </w:r>
      <w:r>
        <w:t xml:space="preserve"> </w:t>
      </w:r>
      <w:r>
        <w:t xml:space="preserve">Ornstein</w:t>
      </w:r>
      <w:r>
        <w:t xml:space="preserve">-</w:t>
      </w:r>
      <w:r>
        <w:t xml:space="preserve">Ulhenbeck</w:t>
      </w:r>
      <w:r>
        <w:t xml:space="preserve"> </w:t>
      </w:r>
      <w:r>
        <w:t xml:space="preserve">process as noise. Sadhana [Internet]. 2006 Apr;31(2):141–53. Available from:</w:t>
      </w:r>
      <w:r>
        <w:t xml:space="preserve"> </w:t>
      </w:r>
      <w:hyperlink r:id="rId25">
        <w:r>
          <w:rPr>
            <w:rStyle w:val="Hyperlink"/>
          </w:rPr>
          <w:t xml:space="preserve">https://doi.org/10.1007/BF02719778</w:t>
        </w:r>
      </w:hyperlink>
    </w:p>
    <w:bookmarkEnd w:id="26"/>
    <w:bookmarkEnd w:id="27"/>
    <w:p>
      <w:r>
        <w:br w:type="page"/>
      </w:r>
    </w:p>
    <w:bookmarkEnd w:id="28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Tables</w:t>
      </w:r>
    </w:p>
    <w:bookmarkStart w:id="29" w:name="tbl:table1"/>
    <w:p>
      <w:pPr>
        <w:pStyle w:val="TableCaption"/>
      </w:pPr>
      <w:r>
        <w:t xml:space="preserve">Table 1: Table example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Table examp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29"/>
    <w:p>
      <w:r>
        <w:br w:type="page"/>
      </w:r>
    </w:p>
    <w:bookmarkStart w:id="30" w:name="tbl:table2"/>
    <w:p>
      <w:pPr>
        <w:pStyle w:val="TableCaption"/>
      </w:pPr>
      <w:r>
        <w:t xml:space="preserve">Table 2: This is a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This is a table caption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top level 1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top level 2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bottom level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4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idx lvl 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30"/>
    <w:p>
      <w:r>
        <w:br w:type="page"/>
      </w:r>
    </w:p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Figures</w:t>
      </w:r>
    </w:p>
    <w:p>
      <w:pPr>
        <w:pStyle w:val="CaptionedFigure"/>
      </w:pPr>
      <w:bookmarkStart w:id="34" w:name="fig:figure1"/>
      <w:r>
        <w:drawing>
          <wp:inline>
            <wp:extent cx="3492500" cy="2324100"/>
            <wp:effectExtent b="0" l="0" r="0" t="0"/>
            <wp:docPr descr="Figure 1: An example figure" title="" id="32" name="Picture"/>
            <a:graphic>
              <a:graphicData uri="http://schemas.openxmlformats.org/drawingml/2006/picture">
                <pic:pic>
                  <pic:nvPicPr>
                    <pic:cNvPr descr="./figures/dogs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1: An example figure</w:t>
      </w:r>
    </w:p>
    <w:p>
      <w:r>
        <w:br w:type="page"/>
      </w:r>
    </w:p>
    <w:bookmarkStart w:id="42" w:name="fig:subfigures"/>
    <w:p>
      <w:pPr>
        <w:pStyle w:val="CaptionedFigure"/>
      </w:pPr>
      <w:bookmarkStart w:id="37" w:name="fig:subfigureA"/>
      <w:r>
        <w:drawing>
          <wp:inline>
            <wp:extent cx="3492500" cy="2324100"/>
            <wp:effectExtent b="0" l="0" r="0" t="0"/>
            <wp:docPr descr="a" title="" id="35" name="Picture"/>
            <a:graphic>
              <a:graphicData uri="http://schemas.openxmlformats.org/drawingml/2006/picture">
                <pic:pic>
                  <pic:nvPicPr>
                    <pic:cNvPr descr="./figures/dogs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a</w:t>
      </w:r>
    </w:p>
    <w:p>
      <w:pPr>
        <w:pStyle w:val="CaptionedFigure"/>
      </w:pPr>
      <w:bookmarkStart w:id="41" w:name="fig:subfigureB"/>
      <w:r>
        <w:drawing>
          <wp:inline>
            <wp:extent cx="2882900" cy="2819400"/>
            <wp:effectExtent b="0" l="0" r="0" t="0"/>
            <wp:docPr descr="b" title="" id="39" name="Picture"/>
            <a:graphic>
              <a:graphicData uri="http://schemas.openxmlformats.org/drawingml/2006/picture">
                <pic:pic>
                  <pic:nvPicPr>
                    <pic:cNvPr descr="./figures/dogs2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b</w:t>
      </w:r>
    </w:p>
    <w:p>
      <w:pPr>
        <w:pStyle w:val="ImageCaption"/>
      </w:pPr>
      <w:r>
        <w:t xml:space="preserve">Figure 2: Overarching subfigure caption. a — 2 dogs, b — 3 dogs</w:t>
      </w:r>
    </w:p>
    <w:bookmarkEnd w:id="42"/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000000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000000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000000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00000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8" Target="media/rId38.jpg" /><Relationship Type="http://schemas.openxmlformats.org/officeDocument/2006/relationships/hyperlink" Id="rId25" Target="https://doi.org/10.1007/BF027197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BF027197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MU Serif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MU Serif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2021-12-14T10:20:43Z</dcterms:created>
  <dcterms:modified xsi:type="dcterms:W3CDTF">2021-12-14T10:20:43Z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references.bib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csl/vancouver.csl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False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/>
  </property>
  <property fmtid="{D5CDD505-2E9C-101B-9397-08002B2CF9AE}" pid="58" name="tblPrefixTemplate">
    <vt:lpwstr>p i</vt:lpwstr>
  </property>
  <property fmtid="{D5CDD505-2E9C-101B-9397-08002B2CF9AE}" pid="59" name="titleDelim">
    <vt:lpwstr>:</vt:lpwstr>
  </property>
</Properties>
</file>