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79A09" w14:textId="77777777" w:rsidR="00765B2A" w:rsidRPr="00765B2A" w:rsidRDefault="00765B2A" w:rsidP="00765B2A">
      <w:pPr>
        <w:rPr>
          <w:b/>
          <w:bCs/>
        </w:rPr>
      </w:pPr>
      <w:r w:rsidRPr="00765B2A">
        <w:rPr>
          <w:b/>
          <w:bCs/>
        </w:rPr>
        <w:t>1. Urban Growth Dynamics in Dhaka Metropolitan Area</w:t>
      </w:r>
    </w:p>
    <w:p w14:paraId="229D2DCD" w14:textId="77777777" w:rsidR="00765B2A" w:rsidRPr="00765B2A" w:rsidRDefault="00765B2A" w:rsidP="00765B2A">
      <w:r w:rsidRPr="00765B2A">
        <w:rPr>
          <w:b/>
          <w:bCs/>
        </w:rPr>
        <w:t>Title</w:t>
      </w:r>
      <w:r w:rsidRPr="00765B2A">
        <w:t xml:space="preserve"> Multi-Decadal Land Use / Land Cover Transformation Analysis – Dhaka City (1972–2019)</w:t>
      </w:r>
    </w:p>
    <w:p w14:paraId="02F2E5D9" w14:textId="77777777" w:rsidR="00765B2A" w:rsidRPr="00765B2A" w:rsidRDefault="00765B2A" w:rsidP="00765B2A">
      <w:r w:rsidRPr="00765B2A">
        <w:rPr>
          <w:b/>
          <w:bCs/>
        </w:rPr>
        <w:t>Description</w:t>
      </w:r>
      <w:r w:rsidRPr="00765B2A">
        <w:t xml:space="preserve"> Conducted supervised classification and post-classification change detection on multi-temporal Landsat imagery to quantify urban sprawl, vegetation depletion, and settlement intensification across Dhaka over 47 years. Revealed dramatic expansion of built-up areas (+94%) alongside substantial losses in vegetative cover and open land, providing critical evidence of rapid, unplanned urbanization.</w:t>
      </w:r>
    </w:p>
    <w:p w14:paraId="3B68572D" w14:textId="77777777" w:rsidR="00765B2A" w:rsidRPr="00765B2A" w:rsidRDefault="00765B2A" w:rsidP="00765B2A">
      <w:pPr>
        <w:rPr>
          <w:b/>
          <w:bCs/>
        </w:rPr>
      </w:pPr>
      <w:r w:rsidRPr="00765B2A">
        <w:rPr>
          <w:b/>
          <w:bCs/>
        </w:rPr>
        <w:t>2. Coastal &amp; Regional Land Cover Mapping</w:t>
      </w:r>
    </w:p>
    <w:p w14:paraId="2CE52CAC" w14:textId="77777777" w:rsidR="00765B2A" w:rsidRPr="00765B2A" w:rsidRDefault="00765B2A" w:rsidP="00765B2A">
      <w:r w:rsidRPr="00765B2A">
        <w:rPr>
          <w:b/>
          <w:bCs/>
        </w:rPr>
        <w:t>Title</w:t>
      </w:r>
      <w:r w:rsidRPr="00765B2A">
        <w:t xml:space="preserve"> Supervised Land Cover Classification of Coastal and Urban Regions – Chittagong &amp; Selected Districts</w:t>
      </w:r>
    </w:p>
    <w:p w14:paraId="6EEF8C5C" w14:textId="77777777" w:rsidR="00765B2A" w:rsidRPr="00765B2A" w:rsidRDefault="00765B2A" w:rsidP="00765B2A">
      <w:r w:rsidRPr="00765B2A">
        <w:rPr>
          <w:b/>
          <w:bCs/>
        </w:rPr>
        <w:t>Description</w:t>
      </w:r>
      <w:r w:rsidRPr="00765B2A">
        <w:t xml:space="preserve"> Applied pixel-based supervised classification techniques to Landsat data, delineating key land cover classes (waterbodies, vegetation, settlement, bare land) in ecologically sensitive and rapidly developing coastal zones of Bangladesh. Delivered high-accuracy thematic maps supporting environmental monitoring and urban planning initiatives.</w:t>
      </w:r>
    </w:p>
    <w:p w14:paraId="76E8A95E" w14:textId="77777777" w:rsidR="00765B2A" w:rsidRPr="00765B2A" w:rsidRDefault="00765B2A" w:rsidP="00765B2A">
      <w:pPr>
        <w:rPr>
          <w:b/>
          <w:bCs/>
        </w:rPr>
      </w:pPr>
      <w:r w:rsidRPr="00765B2A">
        <w:rPr>
          <w:b/>
          <w:bCs/>
        </w:rPr>
        <w:t>3. COVID-19 Vulnerability &amp; Spatial Epidemiology</w:t>
      </w:r>
    </w:p>
    <w:p w14:paraId="56B67668" w14:textId="77777777" w:rsidR="00765B2A" w:rsidRPr="00765B2A" w:rsidRDefault="00765B2A" w:rsidP="00765B2A">
      <w:r w:rsidRPr="00765B2A">
        <w:rPr>
          <w:b/>
          <w:bCs/>
        </w:rPr>
        <w:t>Title</w:t>
      </w:r>
      <w:r w:rsidRPr="00765B2A">
        <w:t xml:space="preserve"> Geospatial Hotspot Analysis &amp; Vulnerability Mapping of COVID-19 among Aged Populations – Dhaka Metropolitan City</w:t>
      </w:r>
    </w:p>
    <w:p w14:paraId="30E945FB" w14:textId="77777777" w:rsidR="00765B2A" w:rsidRPr="00765B2A" w:rsidRDefault="00765B2A" w:rsidP="00765B2A">
      <w:r w:rsidRPr="00765B2A">
        <w:rPr>
          <w:b/>
          <w:bCs/>
        </w:rPr>
        <w:t>Description</w:t>
      </w:r>
      <w:r w:rsidRPr="00765B2A">
        <w:t xml:space="preserve"> Integrated kernel density estimation, point pattern analysis, and demographic overlays to map the spatial distribution of confirmed COVID-19 cases relative to elderly (60+) population density. Identified high-risk clusters and spatial mismatch between vulnerable groups and healthcare access, informing targeted public health interventions during the pandemic.</w:t>
      </w:r>
    </w:p>
    <w:p w14:paraId="002E6BA1" w14:textId="77777777" w:rsidR="00765B2A" w:rsidRPr="00765B2A" w:rsidRDefault="00765B2A" w:rsidP="00765B2A">
      <w:pPr>
        <w:rPr>
          <w:b/>
          <w:bCs/>
        </w:rPr>
      </w:pPr>
      <w:r w:rsidRPr="00765B2A">
        <w:rPr>
          <w:b/>
          <w:bCs/>
        </w:rPr>
        <w:t>4. Healthcare Accessibility &amp; Emergency Planning</w:t>
      </w:r>
    </w:p>
    <w:p w14:paraId="0FE3B0DF" w14:textId="77777777" w:rsidR="00765B2A" w:rsidRPr="00765B2A" w:rsidRDefault="00765B2A" w:rsidP="00765B2A">
      <w:r w:rsidRPr="00765B2A">
        <w:rPr>
          <w:b/>
          <w:bCs/>
        </w:rPr>
        <w:t>Title</w:t>
      </w:r>
      <w:r w:rsidRPr="00765B2A">
        <w:t xml:space="preserve"> Spatial Accessibility Modeling &amp; Emergency Health Risk Assessment – Dhaka City &amp; Selected Upazilas</w:t>
      </w:r>
    </w:p>
    <w:p w14:paraId="2D050307" w14:textId="77777777" w:rsidR="00765B2A" w:rsidRPr="00765B2A" w:rsidRDefault="00765B2A" w:rsidP="00765B2A">
      <w:r w:rsidRPr="00765B2A">
        <w:rPr>
          <w:b/>
          <w:bCs/>
        </w:rPr>
        <w:t>Description</w:t>
      </w:r>
      <w:r w:rsidRPr="00765B2A">
        <w:t xml:space="preserve"> Performed network-based travel-time analysis and multi-buffer zoning around health facilities, combined with population density and aged cohort layers. Produced risk surfaces highlighting underserved areas with prolonged emergency response times, offering actionable insights for optimizing healthcare resource allocation.</w:t>
      </w:r>
    </w:p>
    <w:p w14:paraId="3451E53D" w14:textId="77777777" w:rsidR="00765B2A" w:rsidRPr="00765B2A" w:rsidRDefault="00765B2A" w:rsidP="00765B2A">
      <w:pPr>
        <w:rPr>
          <w:b/>
          <w:bCs/>
        </w:rPr>
      </w:pPr>
      <w:r w:rsidRPr="00765B2A">
        <w:rPr>
          <w:b/>
          <w:bCs/>
        </w:rPr>
        <w:t>5. Urban Flood &amp; Soil Chemistry Analysis</w:t>
      </w:r>
    </w:p>
    <w:p w14:paraId="44D41BF8" w14:textId="77777777" w:rsidR="00765B2A" w:rsidRPr="00765B2A" w:rsidRDefault="00765B2A" w:rsidP="00765B2A">
      <w:r w:rsidRPr="00765B2A">
        <w:rPr>
          <w:b/>
          <w:bCs/>
        </w:rPr>
        <w:t>Title</w:t>
      </w:r>
      <w:r w:rsidRPr="00765B2A">
        <w:t xml:space="preserve"> Kriging-Based Waterlogging &amp; Soil pH Vulnerability Mapping – Basundhara Residential Area, Dhaka</w:t>
      </w:r>
    </w:p>
    <w:p w14:paraId="1841C586" w14:textId="77777777" w:rsidR="00765B2A" w:rsidRPr="00765B2A" w:rsidRDefault="00765B2A" w:rsidP="00765B2A">
      <w:r w:rsidRPr="00765B2A">
        <w:rPr>
          <w:b/>
          <w:bCs/>
        </w:rPr>
        <w:lastRenderedPageBreak/>
        <w:t>Description</w:t>
      </w:r>
      <w:r w:rsidRPr="00765B2A">
        <w:t xml:space="preserve"> Employed ordinary kriging interpolation on field-measured waterlogging depth and pH data to generate continuous prediction surfaces and risk zones. Delivered precise spatial models of flood susceptibility and soil acidity, supporting infrastructure resilience planning in a densely populated urban residential zone.</w:t>
      </w:r>
    </w:p>
    <w:p w14:paraId="2E4363A6" w14:textId="77777777" w:rsidR="00765B2A" w:rsidRPr="00765B2A" w:rsidRDefault="00765B2A" w:rsidP="00765B2A">
      <w:pPr>
        <w:rPr>
          <w:b/>
          <w:bCs/>
        </w:rPr>
      </w:pPr>
      <w:r w:rsidRPr="00765B2A">
        <w:rPr>
          <w:b/>
          <w:bCs/>
        </w:rPr>
        <w:t>6. Nighttime Lights as Proxy for Urban Activity</w:t>
      </w:r>
    </w:p>
    <w:p w14:paraId="6A529318" w14:textId="77777777" w:rsidR="00765B2A" w:rsidRPr="00765B2A" w:rsidRDefault="00765B2A" w:rsidP="00765B2A">
      <w:r w:rsidRPr="00765B2A">
        <w:rPr>
          <w:b/>
          <w:bCs/>
        </w:rPr>
        <w:t>Title</w:t>
      </w:r>
      <w:r w:rsidRPr="00765B2A">
        <w:t xml:space="preserve"> Comparative Urban Intensity Assessment Using Nighttime Light Imagery – Dhaka vs. Asian Megacities</w:t>
      </w:r>
    </w:p>
    <w:p w14:paraId="7CE1FDF8" w14:textId="77777777" w:rsidR="00765B2A" w:rsidRPr="00765B2A" w:rsidRDefault="00765B2A" w:rsidP="00765B2A">
      <w:r w:rsidRPr="00765B2A">
        <w:rPr>
          <w:b/>
          <w:bCs/>
        </w:rPr>
        <w:t>Description</w:t>
      </w:r>
      <w:r w:rsidRPr="00765B2A">
        <w:t xml:space="preserve"> Analyzed VIIRS nighttime lights data to quantify and compare levels of urban economic activity and spatial expansion between Dhaka and major Asian cities. Provided a macro-scale perspective on urbanization intensity and development gradients across the region.</w:t>
      </w:r>
    </w:p>
    <w:p w14:paraId="04D915C6" w14:textId="77777777" w:rsidR="00765B2A" w:rsidRPr="00765B2A" w:rsidRDefault="00765B2A" w:rsidP="00765B2A">
      <w:pPr>
        <w:rPr>
          <w:b/>
          <w:bCs/>
        </w:rPr>
      </w:pPr>
      <w:r w:rsidRPr="00765B2A">
        <w:rPr>
          <w:b/>
          <w:bCs/>
        </w:rPr>
        <w:t>7. Professional Cartographic Design</w:t>
      </w:r>
    </w:p>
    <w:p w14:paraId="1724F804" w14:textId="77777777" w:rsidR="00765B2A" w:rsidRPr="00765B2A" w:rsidRDefault="00765B2A" w:rsidP="00765B2A">
      <w:r w:rsidRPr="00765B2A">
        <w:rPr>
          <w:b/>
          <w:bCs/>
        </w:rPr>
        <w:t>Title</w:t>
      </w:r>
      <w:r w:rsidRPr="00765B2A">
        <w:t xml:space="preserve"> Advanced Thematic Cartography &amp; Layout Design in ArcGIS</w:t>
      </w:r>
    </w:p>
    <w:p w14:paraId="004B75F1" w14:textId="77777777" w:rsidR="00765B2A" w:rsidRPr="00765B2A" w:rsidRDefault="00765B2A" w:rsidP="00765B2A">
      <w:r w:rsidRPr="00765B2A">
        <w:rPr>
          <w:b/>
          <w:bCs/>
        </w:rPr>
        <w:t>Description</w:t>
      </w:r>
      <w:r w:rsidRPr="00765B2A">
        <w:t xml:space="preserve"> Designed publication-quality maps incorporating balanced visual hierarchy, standardized symbology, comprehensive legends, scale bars, north arrows, and source citations. Demonstrated mastery of ArcMap layout tools to effectively communicate complex spatial information to diverse audiences.</w:t>
      </w:r>
    </w:p>
    <w:p w14:paraId="69F852C6" w14:textId="77777777" w:rsidR="00765B2A" w:rsidRPr="00765B2A" w:rsidRDefault="00765B2A" w:rsidP="00765B2A">
      <w:pPr>
        <w:rPr>
          <w:b/>
          <w:bCs/>
        </w:rPr>
      </w:pPr>
      <w:r w:rsidRPr="00765B2A">
        <w:rPr>
          <w:b/>
          <w:bCs/>
        </w:rPr>
        <w:t>8. Historical Map Digitization &amp; Feature Extraction</w:t>
      </w:r>
    </w:p>
    <w:p w14:paraId="768C66EC" w14:textId="77777777" w:rsidR="00765B2A" w:rsidRPr="00765B2A" w:rsidRDefault="00765B2A" w:rsidP="00765B2A">
      <w:r w:rsidRPr="00765B2A">
        <w:rPr>
          <w:b/>
          <w:bCs/>
        </w:rPr>
        <w:t>Title</w:t>
      </w:r>
      <w:r w:rsidRPr="00765B2A">
        <w:t xml:space="preserve"> Georeferencing, Digitization &amp; Vector Data Creation – Administrative &amp; Environmental Features</w:t>
      </w:r>
    </w:p>
    <w:p w14:paraId="035550AB" w14:textId="77777777" w:rsidR="00765B2A" w:rsidRPr="00765B2A" w:rsidRDefault="00765B2A" w:rsidP="00765B2A">
      <w:r w:rsidRPr="00765B2A">
        <w:rPr>
          <w:b/>
          <w:bCs/>
        </w:rPr>
        <w:t>Description</w:t>
      </w:r>
      <w:r w:rsidRPr="00765B2A">
        <w:t xml:space="preserve"> Executed precise georeferencing of historical/scanned maps followed by heads-up digitization of administrative boundaries, road networks, forest compartments, and other features. Produced clean, topology-aware vector datasets ready for spatial analysis and database integration.</w:t>
      </w:r>
    </w:p>
    <w:p w14:paraId="7B045701" w14:textId="77777777" w:rsidR="00765B2A" w:rsidRPr="00765B2A" w:rsidRDefault="00765B2A" w:rsidP="00765B2A">
      <w:pPr>
        <w:rPr>
          <w:b/>
          <w:bCs/>
        </w:rPr>
      </w:pPr>
      <w:r w:rsidRPr="00765B2A">
        <w:rPr>
          <w:b/>
          <w:bCs/>
        </w:rPr>
        <w:t>9. Mangrove Ecosystem Mapping – Sundarban</w:t>
      </w:r>
    </w:p>
    <w:p w14:paraId="708ACBFB" w14:textId="77777777" w:rsidR="00765B2A" w:rsidRPr="00765B2A" w:rsidRDefault="00765B2A" w:rsidP="00765B2A">
      <w:r w:rsidRPr="00765B2A">
        <w:rPr>
          <w:b/>
          <w:bCs/>
        </w:rPr>
        <w:t>Title</w:t>
      </w:r>
      <w:r w:rsidRPr="00765B2A">
        <w:t xml:space="preserve"> Detailed Compartment &amp; Range Mapping of the Sundarban Mangrove Forest</w:t>
      </w:r>
    </w:p>
    <w:p w14:paraId="17C04E74" w14:textId="77777777" w:rsidR="00765B2A" w:rsidRPr="00765B2A" w:rsidRDefault="00765B2A" w:rsidP="00765B2A">
      <w:r w:rsidRPr="00765B2A">
        <w:rPr>
          <w:b/>
          <w:bCs/>
        </w:rPr>
        <w:t>Description</w:t>
      </w:r>
      <w:r w:rsidRPr="00765B2A">
        <w:t xml:space="preserve"> Created high-resolution vector layers of forest ranges, compartments, and management zones through georeferencing and digitization of satellite imagery and reference maps. Supported conservation planning, biodiversity monitoring, and protected area management in the world’s largest contiguous mangrove ecosystem.</w:t>
      </w:r>
    </w:p>
    <w:p w14:paraId="478E6BC4" w14:textId="77777777" w:rsidR="00765B2A" w:rsidRPr="00765B2A" w:rsidRDefault="00765B2A" w:rsidP="00765B2A">
      <w:pPr>
        <w:rPr>
          <w:b/>
          <w:bCs/>
        </w:rPr>
      </w:pPr>
      <w:r w:rsidRPr="00765B2A">
        <w:rPr>
          <w:b/>
          <w:bCs/>
        </w:rPr>
        <w:t>10. River Morphology &amp; Multi-Temporal Change Detection</w:t>
      </w:r>
    </w:p>
    <w:p w14:paraId="3DC91DD0" w14:textId="77777777" w:rsidR="00765B2A" w:rsidRPr="00765B2A" w:rsidRDefault="00765B2A" w:rsidP="00765B2A">
      <w:r w:rsidRPr="00765B2A">
        <w:rPr>
          <w:b/>
          <w:bCs/>
        </w:rPr>
        <w:t>Title</w:t>
      </w:r>
      <w:r w:rsidRPr="00765B2A">
        <w:t xml:space="preserve"> Long-Term River Corridor Dynamics – Balu River Multi-Temporal Analysis (1980–2020)</w:t>
      </w:r>
    </w:p>
    <w:p w14:paraId="678985B5" w14:textId="77777777" w:rsidR="00765B2A" w:rsidRPr="00765B2A" w:rsidRDefault="00765B2A" w:rsidP="00765B2A">
      <w:r w:rsidRPr="00765B2A">
        <w:rPr>
          <w:b/>
          <w:bCs/>
        </w:rPr>
        <w:lastRenderedPageBreak/>
        <w:t>Description</w:t>
      </w:r>
      <w:r w:rsidRPr="00765B2A">
        <w:t xml:space="preserve"> Utilized time-series Landsat imagery and change detection techniques to document riverbank erosion, accretion, channel migration, and adjacent land cover transitions along the Balu River. Generated quantitative insights into hydrological and land-use changes in a rapidly urbanizing peri-urban landscape.</w:t>
      </w:r>
    </w:p>
    <w:p w14:paraId="21DB6618" w14:textId="77777777" w:rsidR="00765B2A" w:rsidRPr="00765B2A" w:rsidRDefault="00765B2A" w:rsidP="00765B2A">
      <w:pPr>
        <w:rPr>
          <w:b/>
          <w:bCs/>
        </w:rPr>
      </w:pPr>
      <w:r w:rsidRPr="00765B2A">
        <w:rPr>
          <w:b/>
          <w:bCs/>
        </w:rPr>
        <w:t>11. GIS Training &amp; Educational Content Creation (if relevant for your portfolio)</w:t>
      </w:r>
    </w:p>
    <w:p w14:paraId="78E86B6D" w14:textId="77777777" w:rsidR="00765B2A" w:rsidRPr="00765B2A" w:rsidRDefault="00765B2A" w:rsidP="00765B2A">
      <w:r w:rsidRPr="00765B2A">
        <w:rPr>
          <w:b/>
          <w:bCs/>
        </w:rPr>
        <w:t>Title</w:t>
      </w:r>
      <w:r w:rsidRPr="00765B2A">
        <w:t xml:space="preserve"> GIS Capacity Building &amp; Instructional Design – Shahriar GIS School</w:t>
      </w:r>
    </w:p>
    <w:p w14:paraId="076E2418" w14:textId="77777777" w:rsidR="00765B2A" w:rsidRPr="00765B2A" w:rsidRDefault="00765B2A" w:rsidP="00765B2A">
      <w:r w:rsidRPr="00765B2A">
        <w:rPr>
          <w:b/>
          <w:bCs/>
        </w:rPr>
        <w:t>Description</w:t>
      </w:r>
      <w:r w:rsidRPr="00765B2A">
        <w:t xml:space="preserve"> Developed comprehensive training curricula, live-session materials, promotional visuals, and assessment resources covering ArcGIS Pro, Python (ArcPy), QGIS, Web GIS, geoprocessing, and advanced cartography. Delivered high-impact geospatial education to learners across 30+ countries.</w:t>
      </w:r>
    </w:p>
    <w:p w14:paraId="5DF2F6FA" w14:textId="00033D64" w:rsidR="00D80052" w:rsidRPr="00765B2A" w:rsidRDefault="00D80052" w:rsidP="00765B2A"/>
    <w:sectPr w:rsidR="00D80052" w:rsidRPr="00765B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30C"/>
    <w:rsid w:val="0048099A"/>
    <w:rsid w:val="006D7DC6"/>
    <w:rsid w:val="007427C2"/>
    <w:rsid w:val="00765B2A"/>
    <w:rsid w:val="00817C71"/>
    <w:rsid w:val="008C1FA7"/>
    <w:rsid w:val="00AF590E"/>
    <w:rsid w:val="00C63B72"/>
    <w:rsid w:val="00D80052"/>
    <w:rsid w:val="00F92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C7E9B0-08CF-408B-8DD0-02E652B3E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3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23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23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23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23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2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3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23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23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23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23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2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30C"/>
    <w:rPr>
      <w:rFonts w:eastAsiaTheme="majorEastAsia" w:cstheme="majorBidi"/>
      <w:color w:val="272727" w:themeColor="text1" w:themeTint="D8"/>
    </w:rPr>
  </w:style>
  <w:style w:type="paragraph" w:styleId="Title">
    <w:name w:val="Title"/>
    <w:basedOn w:val="Normal"/>
    <w:next w:val="Normal"/>
    <w:link w:val="TitleChar"/>
    <w:uiPriority w:val="10"/>
    <w:qFormat/>
    <w:rsid w:val="00F92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30C"/>
    <w:pPr>
      <w:spacing w:before="160"/>
      <w:jc w:val="center"/>
    </w:pPr>
    <w:rPr>
      <w:i/>
      <w:iCs/>
      <w:color w:val="404040" w:themeColor="text1" w:themeTint="BF"/>
    </w:rPr>
  </w:style>
  <w:style w:type="character" w:customStyle="1" w:styleId="QuoteChar">
    <w:name w:val="Quote Char"/>
    <w:basedOn w:val="DefaultParagraphFont"/>
    <w:link w:val="Quote"/>
    <w:uiPriority w:val="29"/>
    <w:rsid w:val="00F9230C"/>
    <w:rPr>
      <w:i/>
      <w:iCs/>
      <w:color w:val="404040" w:themeColor="text1" w:themeTint="BF"/>
    </w:rPr>
  </w:style>
  <w:style w:type="paragraph" w:styleId="ListParagraph">
    <w:name w:val="List Paragraph"/>
    <w:basedOn w:val="Normal"/>
    <w:uiPriority w:val="34"/>
    <w:qFormat/>
    <w:rsid w:val="00F9230C"/>
    <w:pPr>
      <w:ind w:left="720"/>
      <w:contextualSpacing/>
    </w:pPr>
  </w:style>
  <w:style w:type="character" w:styleId="IntenseEmphasis">
    <w:name w:val="Intense Emphasis"/>
    <w:basedOn w:val="DefaultParagraphFont"/>
    <w:uiPriority w:val="21"/>
    <w:qFormat/>
    <w:rsid w:val="00F9230C"/>
    <w:rPr>
      <w:i/>
      <w:iCs/>
      <w:color w:val="2F5496" w:themeColor="accent1" w:themeShade="BF"/>
    </w:rPr>
  </w:style>
  <w:style w:type="paragraph" w:styleId="IntenseQuote">
    <w:name w:val="Intense Quote"/>
    <w:basedOn w:val="Normal"/>
    <w:next w:val="Normal"/>
    <w:link w:val="IntenseQuoteChar"/>
    <w:uiPriority w:val="30"/>
    <w:qFormat/>
    <w:rsid w:val="00F923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230C"/>
    <w:rPr>
      <w:i/>
      <w:iCs/>
      <w:color w:val="2F5496" w:themeColor="accent1" w:themeShade="BF"/>
    </w:rPr>
  </w:style>
  <w:style w:type="character" w:styleId="IntenseReference">
    <w:name w:val="Intense Reference"/>
    <w:basedOn w:val="DefaultParagraphFont"/>
    <w:uiPriority w:val="32"/>
    <w:qFormat/>
    <w:rsid w:val="00F923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772</Words>
  <Characters>4407</Characters>
  <Application>Microsoft Office Word</Application>
  <DocSecurity>0</DocSecurity>
  <Lines>36</Lines>
  <Paragraphs>10</Paragraphs>
  <ScaleCrop>false</ScaleCrop>
  <Company/>
  <LinksUpToDate>false</LinksUpToDate>
  <CharactersWithSpaces>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Jahidul Islam Tushar</dc:creator>
  <cp:keywords/>
  <dc:description/>
  <cp:lastModifiedBy>Mohammad Jahidul Islam Tushar</cp:lastModifiedBy>
  <cp:revision>2</cp:revision>
  <dcterms:created xsi:type="dcterms:W3CDTF">2026-02-05T11:06:00Z</dcterms:created>
  <dcterms:modified xsi:type="dcterms:W3CDTF">2026-02-05T11:07:00Z</dcterms:modified>
</cp:coreProperties>
</file>