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5B6770"/>
          <w:sz w:val="22"/>
          <w:szCs w:val="22"/>
        </w:rPr>
        <w:t xml:space="preserve">BC400 Communication and Media Management</w:t>
      </w:r>
    </w:p>
    <w:p>
      <w:pPr>
        <w:pStyle w:val="Title"/>
      </w:pPr>
      <w:r>
        <w:t xml:space="preserve">Assessment 1A Toolkit: Meat &amp; Livestock Australia (MLA) Communication Audit</w:t>
      </w:r>
    </w:p>
    <w:p>
      <w:pPr>
        <w:spacing w:after="120" w:line="288"/>
        <w:rPr>
          <w:color w:val="5B6770"/>
          <w:sz w:val="22"/>
          <w:szCs w:val="22"/>
        </w:rPr>
      </w:pPr>
      <w:r>
        <w:rPr>
          <w:color w:val="5B6770"/>
          <w:sz w:val="22"/>
          <w:szCs w:val="22"/>
        </w:rPr>
        <w:t xml:space="preserve">Evidence pack, theory toolkit, stakeholder and channel frameworks, and a section-by-section writing guide. </w:t>
      </w:r>
      <w:r>
        <w:rPr>
          <w:b/>
          <w:bCs/>
          <w:color w:val="5B6770"/>
          <w:sz w:val="22"/>
          <w:szCs w:val="22"/>
        </w:rPr>
        <w:t xml:space="preserve">These are planning notes, not report text.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F3E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How to use this pack</w:t>
            </w:r>
          </w:p>
          <w:p>
            <w:pPr>
              <w:spacing w:after="60" w:line="276"/>
            </w:pPr>
            <w:r>
              <w:t xml:space="preserve">Everything here is research notes, frameworks and prompts. </w:t>
            </w:r>
            <w:r>
              <w:rPr>
                <w:b/>
                <w:bCs/>
              </w:rPr>
              <w:t xml:space="preserve">Write every sentence of your report in your own words.</w:t>
            </w:r>
            <w:r>
              <w:t xml:space="preserve"> The brief bans submitting AI-generated text, and the Assessment 1B quiz tests your own understanding of the audit.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Open and check every source before you cite it.</w:t>
            </w:r>
            <w:r>
              <w:t xml:space="preserve"> The brief warns against unverified AI-generated information. Items marked </w:t>
            </w:r>
            <w:r>
              <w:rPr>
                <w:b/>
                <w:bCs/>
              </w:rPr>
              <w:t xml:space="preserve">[check]</w:t>
            </w:r>
            <w:r>
              <w:t xml:space="preserve"> need extra verification.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Declare AI use</w:t>
            </w:r>
            <w:r>
              <w:t xml:space="preserve"> as Moodle instructs. A possible wording to adapt: "I used Claude (Anthropic) to help plan the report structure, locate sources and organise evidence. All analysis, writing and source checking are my own."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Correction to the earlier plan</w:t>
            </w:r>
          </w:p>
          <w:p>
            <w:pPr>
              <w:spacing w:after="60" w:line="276"/>
            </w:pPr>
            <w:r>
              <w:t xml:space="preserve">The 2024–25 cattle transaction levy review, including the consultation meetings some producers said were poorly promoted, is run by </w:t>
            </w:r>
            <w:r>
              <w:rPr>
                <w:b/>
                <w:bCs/>
              </w:rPr>
              <w:t xml:space="preserve">Cattle Australia</w:t>
            </w:r>
            <w:r>
              <w:t xml:space="preserve"> (the grass-fed cattle peak council), </w:t>
            </w:r>
            <w:r>
              <w:rPr>
                <w:b/>
                <w:bCs/>
              </w:rPr>
              <w:t xml:space="preserve">not MLA</w:t>
            </w:r>
            <w:r>
              <w:t xml:space="preserve">. Use this evidence to show what levy payers want from MLA (more transparency about levy spending). Do not present it as MLA’s own communication failure.</w:t>
            </w:r>
          </w:p>
        </w:tc>
      </w:tr>
    </w:tbl>
    <w:p>
      <w:pPr>
        <w:pStyle w:val="Heading1"/>
      </w:pPr>
      <w:r>
        <w:t xml:space="preserve">1. Suggested audit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6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Suggested framing (adapt in your words)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Organisation</w:t>
            </w:r>
          </w:p>
        </w:tc>
        <w:tc>
          <w:tcPr>
            <w:tcW w:type="dxa" w:w="7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MLA: a producer-owned, not-for-profit company delivering research, development and marketing for Australia’s red meat industry. It is funded mainly by livestock transaction levies plus federal government R&amp;D co-funding (E1, E2).</w:t>
            </w:r>
          </w:p>
        </w:tc>
      </w:tr>
      <w:tr>
        <w:tc>
          <w:tcPr>
            <w:tcW w:type="dxa" w:w="2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Audit focus</w:t>
            </w:r>
          </w:p>
        </w:tc>
        <w:tc>
          <w:tcPr>
            <w:tcW w:type="dxa" w:w="76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External communication with </w:t>
            </w:r>
            <w:r>
              <w:rPr>
                <w:b/>
                <w:bCs/>
                <w:sz w:val="18"/>
                <w:szCs w:val="18"/>
              </w:rPr>
              <w:t xml:space="preserve">levy-paying producers</w:t>
            </w:r>
            <w:r>
              <w:rPr>
                <w:sz w:val="18"/>
                <w:szCs w:val="18"/>
              </w:rPr>
              <w:t xml:space="preserve"> (main focus), plus brief coverage of government and peak councils, consumers, and internal communication.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7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Desk-based "outside-in" audit of public materials: website, publications, campaigns, annual reports and industry media.</w:t>
            </w:r>
          </w:p>
        </w:tc>
      </w:tr>
      <w:tr>
        <w:tc>
          <w:tcPr>
            <w:tcW w:type="dxa" w:w="2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Limitation</w:t>
            </w:r>
          </w:p>
        </w:tc>
        <w:tc>
          <w:tcPr>
            <w:tcW w:type="dxa" w:w="76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access to internal channels or staff. Internal analysis is therefore limited and inferred. </w:t>
            </w:r>
            <w:r>
              <w:rPr>
                <w:b/>
                <w:bCs/>
                <w:sz w:val="18"/>
                <w:szCs w:val="18"/>
              </w:rPr>
              <w:t xml:space="preserve">State this openly</w:t>
            </w:r>
            <w:r>
              <w:rPr>
                <w:sz w:val="18"/>
                <w:szCs w:val="18"/>
              </w:rPr>
              <w:t xml:space="preserve">, because markers reward honesty about scope.</w:t>
            </w:r>
          </w:p>
        </w:tc>
      </w:tr>
    </w:tbl>
    <w:p>
      <w:pPr>
        <w:pStyle w:val="Heading1"/>
      </w:pPr>
      <w:r>
        <w:t xml:space="preserve">2. Evidence bank</w:t>
      </w:r>
    </w:p>
    <w:p>
      <w:pPr>
        <w:spacing w:after="120" w:line="288"/>
      </w:pPr>
      <w:r>
        <w:t xml:space="preserve">Facts gathered from public sources. Cite the original source, not this pack. "Use in" shows the report section each fact supports.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2238"/>
        <w:gridCol w:w="1900"/>
      </w:tblGrid>
      <w:tr>
        <w:trPr>
          <w:tblHeader/>
        </w:trPr>
        <w:tc>
          <w:tcPr>
            <w:tcW w:type="dxa" w:w="6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in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MLA’s 2024–25 operating budget is just under $300m across 16 program areas. Funding includes government R&amp;D co-funding $93.7m, grass-fed cattle levies $55.6m, grain-fed cattle levies $15.8m, sheep levies $39m, AMPC $26.5m and external (mostly research) $67.6m.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Beef Central (2024)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Intro; Stakeholders (government and processor influence)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2023–24 total income $283.1m; levy income $108.8m, up 11.4%.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 Annual Report 2023–24; Farm Weekly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Intro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 membership is voluntary and free for levy-paying producers, but producers must </w:t>
            </w:r>
            <w:r>
              <w:rPr>
                <w:b/>
                <w:bCs/>
                <w:sz w:val="18"/>
                <w:szCs w:val="18"/>
              </w:rPr>
              <w:t xml:space="preserve">apply</w:t>
            </w:r>
            <w:r>
              <w:rPr>
                <w:sz w:val="18"/>
                <w:szCs w:val="18"/>
              </w:rPr>
              <w:t xml:space="preserve"> to become members to vote at the AGM.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Australian Government Directory; The Land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Stakeholders; Evaluation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Senate evidence: only about </w:t>
            </w:r>
            <w:r>
              <w:rPr>
                <w:b/>
                <w:bCs/>
                <w:sz w:val="18"/>
                <w:szCs w:val="18"/>
              </w:rPr>
              <w:t xml:space="preserve">one-third</w:t>
            </w:r>
            <w:r>
              <w:rPr>
                <w:sz w:val="18"/>
                <w:szCs w:val="18"/>
              </w:rPr>
              <w:t xml:space="preserve"> of levy payers were MLA members; many small producers did not apply because they felt they had no voice. </w:t>
            </w:r>
            <w:r>
              <w:rPr>
                <w:b/>
                <w:bCs/>
                <w:sz w:val="18"/>
                <w:szCs w:val="18"/>
              </w:rPr>
              <w:t xml:space="preserve">[check: 2014 evidence; look for a newer figure]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Senate RRAT References Committee (2014), ch. 4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Stakeholders (salience); Barriers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E5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Voting entitlements rely on producers self-declaring the levies they paid, because levies are collected in bulk by intermediaries.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Senate (2014); Beef Central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Evaluation (trust, accountability)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E6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 xml:space="preserve">Feedback</w:t>
            </w:r>
            <w:r>
              <w:rPr>
                <w:sz w:val="18"/>
                <w:szCs w:val="18"/>
              </w:rPr>
              <w:t xml:space="preserve"> magazine is distributed to about </w:t>
            </w:r>
            <w:r>
              <w:rPr>
                <w:b/>
                <w:bCs/>
                <w:sz w:val="18"/>
                <w:szCs w:val="18"/>
              </w:rPr>
              <w:t xml:space="preserve">50,000</w:t>
            </w:r>
            <w:r>
              <w:rPr>
                <w:sz w:val="18"/>
                <w:szCs w:val="18"/>
              </w:rPr>
              <w:t xml:space="preserve"> producers and stakeholders and reports where levy dollars are spent on marketing and R&amp;D.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MLA, Feedback magazine page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E7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E-newsletters </w:t>
            </w:r>
            <w:r>
              <w:rPr>
                <w:i/>
                <w:iCs/>
                <w:sz w:val="18"/>
                <w:szCs w:val="18"/>
              </w:rPr>
              <w:t xml:space="preserve">Friday Feedback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i/>
                <w:iCs/>
                <w:sz w:val="18"/>
                <w:szCs w:val="18"/>
              </w:rPr>
              <w:t xml:space="preserve">Prices &amp; Markets</w:t>
            </w:r>
            <w:r>
              <w:rPr>
                <w:sz w:val="18"/>
                <w:szCs w:val="18"/>
              </w:rPr>
              <w:t xml:space="preserve"> each have about </w:t>
            </w:r>
            <w:r>
              <w:rPr>
                <w:b/>
                <w:bCs/>
                <w:sz w:val="18"/>
                <w:szCs w:val="18"/>
              </w:rPr>
              <w:t xml:space="preserve">30,000</w:t>
            </w:r>
            <w:r>
              <w:rPr>
                <w:sz w:val="18"/>
                <w:szCs w:val="18"/>
              </w:rPr>
              <w:t xml:space="preserve"> subscribers.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E8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myMLA: a customisable online dashboard giving access to NLIS, eNVDs and LPA, and letting producers set their communication preferences.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MLA, myMLA page; Beef Central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 (personalisation)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E9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BeefUp forums: one- and two-day events across Queensland, NT and northern WA, typically 20–70 attendees.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MLA, event types page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 (rich, face-to-face)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E10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Red Meat event is held with the MLA AGM each November, where members receive financial statements and vote on directors and resolutions.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 (governance communication)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E11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Summer Lamb 2025 (by Droga5): digital-first, built on real online comments. During the 2024 campaign, purchase volume rose 18.9% on the previous year.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 news; Mumbrella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 (consumers); Strengths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E12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"The Greatest" beef campaign returned on 13 October 2025, including Ashes cricket telecasts reaching an expected 13.5m+ Australians, plus online video, social media and outdoor advertising.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 news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 (consumers)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E13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Levy review survey: marketing returns rated "very well to moderately well" by about 50%, "slight" by 42%, "none" by 8%. Research returns: 41% / 52% / 7%.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Beef Central (on Cattle Australia discussion paper)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Evaluation (perceived value gap)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E14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most consistent consultation theme: producers want </w:t>
            </w:r>
            <w:r>
              <w:rPr>
                <w:b/>
                <w:bCs/>
                <w:sz w:val="18"/>
                <w:szCs w:val="18"/>
              </w:rPr>
              <w:t xml:space="preserve">more transparency and accountability</w:t>
            </w:r>
            <w:r>
              <w:rPr>
                <w:sz w:val="18"/>
                <w:szCs w:val="18"/>
              </w:rPr>
              <w:t xml:space="preserve"> about what the levy delivers.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Beef Central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Evaluation (key gap)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E15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Some producers said review consultation meetings were poorly promoted, leading to very low attendance at some venues (Cattle Australia meetings).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Beef Central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Barriers (sector-wide); Recommendations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E16</w:t>
            </w:r>
          </w:p>
        </w:tc>
        <w:tc>
          <w:tcPr>
            <w:tcW w:type="dxa" w:w="4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Farmers and farm managers had markedly lower digital inclusion scores than the rural and national averages.</w:t>
            </w:r>
          </w:p>
        </w:tc>
        <w:tc>
          <w:tcPr>
            <w:tcW w:type="dxa" w:w="22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Marshall et al. (2020)</w:t>
            </w:r>
          </w:p>
        </w:tc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Barriers (digital-first risk)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E17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2023 Australian Digital Inclusion Index: metro 74.8 vs non-metro 69.8; the digital ability gap remains considerable.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ADII (2023)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Barriers</w:t>
            </w:r>
          </w:p>
        </w:tc>
      </w:tr>
    </w:tbl>
    <w:p>
      <w:pPr>
        <w:pStyle w:val="Heading1"/>
      </w:pPr>
      <w:r>
        <w:t xml:space="preserve">3. Theory toolkit</w:t>
      </w:r>
    </w:p>
    <w:p>
      <w:pPr>
        <w:spacing w:after="120" w:line="288"/>
      </w:pPr>
      <w:r>
        <w:t xml:space="preserve">Use at least two theories as </w:t>
      </w:r>
      <w:r>
        <w:rPr>
          <w:b/>
          <w:bCs/>
        </w:rPr>
        <w:t xml:space="preserve">lenses for judgement</w:t>
      </w:r>
      <w:r>
        <w:t xml:space="preserve">, not as definitions. The pattern markers reward: </w:t>
      </w:r>
      <w:r>
        <w:rPr>
          <w:i/>
          <w:iCs/>
        </w:rPr>
        <w:t xml:space="preserve">the theory says X; MLA’s evidence shows Y; therefore Z.</w:t>
      </w:r>
    </w:p>
    <w:p>
      <w:pPr>
        <w:pStyle w:val="Heading2"/>
      </w:pPr>
      <w:r>
        <w:t xml:space="preserve">Stakeholder theory and salience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338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Key sources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Freeman (1984); Mitchell, Agle &amp; Wood (1997)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Core idea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Organisations should consider every group that affects or is affected by them. Salience depends on </w:t>
            </w:r>
            <w:r>
              <w:rPr>
                <w:b/>
                <w:bCs/>
                <w:sz w:val="18"/>
                <w:szCs w:val="18"/>
              </w:rPr>
              <w:t xml:space="preserve">power, legitimacy and urgency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Questions to apply to MLA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Which groups receive most of MLA’s communication effort?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Non-member levy payers have legitimacy and urgency but little power. Mitchell et al. call this a "dependent" stakeholder. Are they heard?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Does government co-funding give government more salience than producers?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Evidence to use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E1, E3, E4, E13, E14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Critical point (for depth)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Salience changes over time (the levy review raised urgency). The model identifies who matters, but not </w:t>
            </w:r>
            <w:r>
              <w:rPr>
                <w:i/>
                <w:iCs/>
                <w:sz w:val="18"/>
                <w:szCs w:val="18"/>
              </w:rPr>
              <w:t xml:space="preserve">how</w:t>
            </w:r>
            <w:r>
              <w:rPr>
                <w:sz w:val="18"/>
                <w:szCs w:val="18"/>
              </w:rPr>
              <w:t xml:space="preserve"> to communicate with them.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Two-way symmetrical communication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338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Key sources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Grunig &amp; Hunt (1984); Dozier, Grunig &amp; Grunig (1995)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Core idea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Four models: press agentry, public information, two-way asymmetrical and two-way symmetrical. Excellence means dialogue and mutual adjustment.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Questions to apply to MLA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Classify each MLA channel. Most (magazine, newsletters, ads) are one-way.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Do producers’ views visibly change decisions, or are producers only informed?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Is there a published "you said, we did" loop?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Evidence to use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E6–E10, E14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Critical point (for depth)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Often called idealistic: power is unequal and organisations rarely act fully symmetrically. The "mixed-motive" model is a more realistic benchmark.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Media richness theory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338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Key sources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Daft &amp; Lengel (1986); Dennis &amp; Valacich (1999)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Core idea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 differ in richness (instant feedback, multiple cues, personal focus). Complex or ambiguous messages need rich channels; routine messages suit lean ones.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Questions to apply to MLA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Routine market data via lean channels (newsletters, dashboards) is a good fit.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Contested topics like levy value are mostly delivered through lean, one-way channels. Is that a mismatch?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Rich channels like BeefUp reach only small, regional audiences.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Evidence to use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E7, E8, E9, E16, E17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Critical point (for depth)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People adapt "lean" media over time (media synchronicity). In rural areas, connectivity limits which rich digital channels are actually usable.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Barriers and noise (optional 4th)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338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Key sources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Shannon &amp; Weaver (1949)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Core idea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Noise distorts messages between sender and receiver: physical, semantic and psychological.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Questions to apply to MLA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Physical: rural connectivity (E16, E17).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Semantic: technical R&amp;D language.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Psychological: distrust about levy use (E5, E14).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Evidence to use</w:t>
            </w:r>
          </w:p>
        </w:tc>
        <w:tc>
          <w:tcPr>
            <w:tcW w:type="dxa" w:w="73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E5, E14, E16, E17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Critical point (for depth)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linear model that ignores feedback. Pair it with a transactional or two-way view.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Stakeholder framework</w:t>
      </w:r>
    </w:p>
    <w:p>
      <w:pPr>
        <w:spacing w:after="120" w:line="288"/>
      </w:pPr>
      <w:r>
        <w:t xml:space="preserve">A working power–interest map. </w:t>
      </w:r>
      <w:r>
        <w:rPr>
          <w:b/>
          <w:bCs/>
        </w:rPr>
        <w:t xml:space="preserve">Check and justify every placement yourself</w:t>
      </w:r>
      <w:r>
        <w:t xml:space="preserve">: the reasoning behind each position is what earns marks. If you use the figure, adapt it or redraw it, and cite the evidence.</w:t>
      </w:r>
    </w:p>
    <w:p>
      <w:pPr>
        <w:spacing w:after="8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map" descr="Power-interest grid of MLA stakeholders" title="Stakeholder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2900"/>
        <w:gridCol w:w="2038"/>
        <w:gridCol w:w="20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8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Int./Ext.</w:t>
            </w:r>
          </w:p>
        </w:tc>
        <w:tc>
          <w:tcPr>
            <w:tcW w:type="dxa" w:w="29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Communication needs and interests</w:t>
            </w:r>
          </w:p>
        </w:tc>
        <w:tc>
          <w:tcPr>
            <w:tcW w:type="dxa" w:w="20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Influence / salience</w:t>
            </w:r>
          </w:p>
        </w:tc>
        <w:tc>
          <w:tcPr>
            <w:tcW w:type="dxa" w:w="2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channels to check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 member levy payers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Value for money, R&amp;D results, market information, a say in governance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High: legitimacy plus votes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Feedback, newsletters, myMLA, AGM, events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Non-member levy payers</w:t>
            </w:r>
          </w:p>
        </w:tc>
        <w:tc>
          <w:tcPr>
            <w:tcW w:type="dxa" w:w="8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Ext.</w:t>
            </w:r>
          </w:p>
        </w:tc>
        <w:tc>
          <w:tcPr>
            <w:tcW w:type="dxa" w:w="2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same needs as members, but no formal voice</w:t>
            </w:r>
          </w:p>
        </w:tc>
        <w:tc>
          <w:tcPr>
            <w:tcW w:type="dxa" w:w="20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Dependent: legitimate and urgent, little power</w:t>
            </w:r>
          </w:p>
        </w:tc>
        <w:tc>
          <w:tcPr>
            <w:tcW w:type="dxa" w:w="2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Mostly one-way channels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Peak councils (e.g., Cattle Australia)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Consultation, accountability, input into strategy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 power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Formal meetings and planning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Federal Government (Dept of Agriculture)</w:t>
            </w:r>
          </w:p>
        </w:tc>
        <w:tc>
          <w:tcPr>
            <w:tcW w:type="dxa" w:w="8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Ext.</w:t>
            </w:r>
          </w:p>
        </w:tc>
        <w:tc>
          <w:tcPr>
            <w:tcW w:type="dxa" w:w="2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Compliance, reporting, value for co-funding</w:t>
            </w:r>
          </w:p>
        </w:tc>
        <w:tc>
          <w:tcPr>
            <w:tcW w:type="dxa" w:w="20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 power (E1)</w:t>
            </w:r>
          </w:p>
        </w:tc>
        <w:tc>
          <w:tcPr>
            <w:tcW w:type="dxa" w:w="2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Annual reports, formal reporting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Processors and AMPC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Market insights, joint programs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Medium–high: co-funders, collect levies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Industry reports, meetings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Consumers (domestic and overseas)</w:t>
            </w:r>
          </w:p>
        </w:tc>
        <w:tc>
          <w:tcPr>
            <w:tcW w:type="dxa" w:w="8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Ext.</w:t>
            </w:r>
          </w:p>
        </w:tc>
        <w:tc>
          <w:tcPr>
            <w:tcW w:type="dxa" w:w="2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Product appeal, trust, food information</w:t>
            </w:r>
          </w:p>
        </w:tc>
        <w:tc>
          <w:tcPr>
            <w:tcW w:type="dxa" w:w="20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 individually, high collectively</w:t>
            </w:r>
          </w:p>
        </w:tc>
        <w:tc>
          <w:tcPr>
            <w:tcW w:type="dxa" w:w="2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TV, social, outdoor campaigns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 staff and board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Strategy alignment, consistent messaging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 (staff); high (board)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public evidence; state the limitation</w:t>
            </w:r>
          </w:p>
        </w:tc>
      </w:tr>
    </w:tbl>
    <w:p>
      <w:pPr>
        <w:pStyle w:val="Heading1"/>
      </w:pPr>
      <w:r>
        <w:t xml:space="preserve">5. Channel audit grid</w:t>
      </w:r>
    </w:p>
    <w:p>
      <w:pPr>
        <w:spacing w:after="120" w:line="288"/>
      </w:pPr>
      <w:r>
        <w:t xml:space="preserve">Your judgement on </w:t>
      </w:r>
      <w:r>
        <w:rPr>
          <w:b/>
          <w:bCs/>
        </w:rPr>
        <w:t xml:space="preserve">fit</w:t>
      </w:r>
      <w:r>
        <w:t xml:space="preserve"> is the analysis. Answer the prompts in your own words, citing the evidence.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000"/>
        <w:gridCol w:w="900"/>
        <w:gridCol w:w="3538"/>
      </w:tblGrid>
      <w:tr>
        <w:trPr>
          <w:tblHeader/>
        </w:trPr>
        <w:tc>
          <w:tcPr>
            <w:tcW w:type="dxa" w:w="16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3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audience</w:t>
            </w:r>
          </w:p>
        </w:tc>
        <w:tc>
          <w:tcPr>
            <w:tcW w:type="dxa" w:w="13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Richness</w:t>
            </w:r>
          </w:p>
        </w:tc>
        <w:tc>
          <w:tcPr>
            <w:tcW w:type="dxa" w:w="9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5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Questions to judge fit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 xml:space="preserve">Feedback</w:t>
            </w:r>
            <w:r>
              <w:rPr>
                <w:sz w:val="18"/>
                <w:szCs w:val="18"/>
              </w:rPr>
              <w:t xml:space="preserve"> magazine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Producers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One-way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Lean–medium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E6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Strong reach. Does it show levy results clearly enough to answer E14?</w:t>
            </w:r>
          </w:p>
        </w:tc>
      </w:tr>
      <w:tr>
        <w:tc>
          <w:tcPr>
            <w:tcW w:type="dxa" w:w="1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E-newsletters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Producers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One-way</w:t>
            </w:r>
          </w:p>
        </w:tc>
        <w:tc>
          <w:tcPr>
            <w:tcW w:type="dxa" w:w="1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Lean</w:t>
            </w:r>
          </w:p>
        </w:tc>
        <w:tc>
          <w:tcPr>
            <w:tcW w:type="dxa" w:w="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E7</w:t>
            </w:r>
          </w:p>
        </w:tc>
        <w:tc>
          <w:tcPr>
            <w:tcW w:type="dxa" w:w="35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Good for routine market data. Does it suit contested topics?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myMLA dashboard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Producers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Partly two-way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E8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Personalised, but useful only for digitally included producers (E16)?</w:t>
            </w:r>
          </w:p>
        </w:tc>
      </w:tr>
      <w:tr>
        <w:tc>
          <w:tcPr>
            <w:tcW w:type="dxa" w:w="1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Website and market reports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Producers, industry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One-way</w:t>
            </w:r>
          </w:p>
        </w:tc>
        <w:tc>
          <w:tcPr>
            <w:tcW w:type="dxa" w:w="1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Lean</w:t>
            </w:r>
          </w:p>
        </w:tc>
        <w:tc>
          <w:tcPr>
            <w:tcW w:type="dxa" w:w="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MLA site</w:t>
            </w:r>
          </w:p>
        </w:tc>
        <w:tc>
          <w:tcPr>
            <w:tcW w:type="dxa" w:w="35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Easy to navigate? Plain language?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BeefUp and other events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Northern producers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Two-way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Rich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E9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Rich, but small reach (20–70 people). Who is left out?</w:t>
            </w:r>
          </w:p>
        </w:tc>
      </w:tr>
      <w:tr>
        <w:tc>
          <w:tcPr>
            <w:tcW w:type="dxa" w:w="1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AGM, Red Meat and annual report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Members, government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Mostly one-way</w:t>
            </w:r>
          </w:p>
        </w:tc>
        <w:tc>
          <w:tcPr>
            <w:tcW w:type="dxa" w:w="1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E10, E2</w:t>
            </w:r>
          </w:p>
        </w:tc>
        <w:tc>
          <w:tcPr>
            <w:tcW w:type="dxa" w:w="35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 non-members have any voice? (E3, E4)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Consumer campaigns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Consumers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One-way (some social engagement)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E11, E12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 evidence-based strength: measurable results.</w:t>
            </w:r>
          </w:p>
        </w:tc>
      </w:tr>
      <w:tr>
        <w:tc>
          <w:tcPr>
            <w:tcW w:type="dxa" w:w="16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Media releases and rural media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Producers, public</w:t>
            </w:r>
          </w:p>
        </w:tc>
        <w:tc>
          <w:tcPr>
            <w:tcW w:type="dxa" w:w="13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One-way; media can be critical</w:t>
            </w:r>
          </w:p>
        </w:tc>
        <w:tc>
          <w:tcPr>
            <w:tcW w:type="dxa" w:w="1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Lean</w:t>
            </w:r>
          </w:p>
        </w:tc>
        <w:tc>
          <w:tcPr>
            <w:tcW w:type="dxa" w:w="9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E13–E15</w:t>
            </w:r>
          </w:p>
        </w:tc>
        <w:tc>
          <w:tcPr>
            <w:tcW w:type="dxa" w:w="35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Rural media also carries criticism. How does MLA respond?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Internal (intranet, staff updates)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Staff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Unknown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Unknown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None public</w:t>
            </w:r>
          </w:p>
        </w:tc>
        <w:tc>
          <w:tcPr>
            <w:tcW w:type="dxa" w:w="35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Treat as a scope limitation; do not invent detail.</w:t>
            </w:r>
          </w:p>
        </w:tc>
      </w:tr>
    </w:tbl>
    <w:p>
      <w:pPr>
        <w:pStyle w:val="Heading1"/>
      </w:pPr>
      <w:r>
        <w:t xml:space="preserve">6. Section-by-section writing guide</w:t>
      </w:r>
    </w:p>
    <w:p>
      <w:pPr>
        <w:spacing w:after="120" w:line="288"/>
      </w:pPr>
      <w:r>
        <w:t xml:space="preserve">Total target </w:t>
      </w:r>
      <w:r>
        <w:rPr>
          <w:b/>
          <w:bCs/>
        </w:rPr>
        <w:t xml:space="preserve">1,500 words</w:t>
      </w:r>
      <w:r>
        <w:t xml:space="preserve"> (allowed range 1,350–1,650). The title page and references are not counted. </w:t>
      </w:r>
      <w:r>
        <w:rPr>
          <w:b/>
          <w:bCs/>
        </w:rPr>
        <w:t xml:space="preserve">Ask your lecturer whether tables count.</w:t>
      </w:r>
    </w:p>
    <w:p>
      <w:pPr>
        <w:pStyle w:val="Heading2"/>
      </w:pPr>
      <w:r>
        <w:t xml:space="preserve">1. Introduction (150 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Who MLA is, its sector, and how it is funded (E1, E2).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audit purpose and scope, including the limitation.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one-sentence roadmap of the report.</w:t>
      </w:r>
    </w:p>
    <w:p>
      <w:pPr>
        <w:spacing w:after="120" w:line="288"/>
        <w:rPr>
          <w:color w:val="3A7D44"/>
        </w:rPr>
      </w:pPr>
      <w:r>
        <w:rPr>
          <w:b/>
          <w:bCs/>
          <w:color w:val="3A7D44"/>
        </w:rPr>
        <w:t xml:space="preserve">HD tip:</w:t>
      </w:r>
      <w:r>
        <w:rPr>
          <w:color w:val="3A7D44"/>
        </w:rPr>
        <w:t xml:space="preserve"> Avoid long company history. Use one fact to show scale, then move on.</w:t>
      </w:r>
    </w:p>
    <w:p>
      <w:pPr>
        <w:pStyle w:val="Heading2"/>
      </w:pPr>
      <w:r>
        <w:t xml:space="preserve">2. Literature review and theory (300 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2–3 theories from Section 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each: the core idea, its source, a critique, and how you will use it on MLA.</w:t>
      </w:r>
    </w:p>
    <w:p>
      <w:pPr>
        <w:spacing w:after="120" w:line="288"/>
        <w:rPr>
          <w:color w:val="3A7D44"/>
        </w:rPr>
      </w:pPr>
      <w:r>
        <w:rPr>
          <w:b/>
          <w:bCs/>
          <w:color w:val="3A7D44"/>
        </w:rPr>
        <w:t xml:space="preserve">HD tip:</w:t>
      </w:r>
      <w:r>
        <w:rPr>
          <w:color w:val="3A7D44"/>
        </w:rPr>
        <w:t xml:space="preserve"> Do not just define. End each theory with a sentence on what it reveals about MLA.</w:t>
      </w:r>
    </w:p>
    <w:p>
      <w:pPr>
        <w:pStyle w:val="Heading2"/>
      </w:pPr>
      <w:r>
        <w:t xml:space="preserve">3. Stakeholder analysis (250 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map (as a figure) plus discussion of 4–5 key groups.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Needs, interests and influence for each group.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"dependent stakeholder" point about non-member levy payers.</w:t>
      </w:r>
    </w:p>
    <w:p>
      <w:pPr>
        <w:spacing w:after="120" w:line="288"/>
        <w:rPr>
          <w:color w:val="3A7D44"/>
        </w:rPr>
      </w:pPr>
      <w:r>
        <w:rPr>
          <w:b/>
          <w:bCs/>
          <w:color w:val="3A7D44"/>
        </w:rPr>
        <w:t xml:space="preserve">HD tip:</w:t>
      </w:r>
      <w:r>
        <w:rPr>
          <w:color w:val="3A7D44"/>
        </w:rPr>
        <w:t xml:space="preserve"> Name the tension: who has power versus who has legitimacy.</w:t>
      </w:r>
    </w:p>
    <w:p>
      <w:pPr>
        <w:pStyle w:val="Heading2"/>
      </w:pPr>
      <w:r>
        <w:t xml:space="preserve">4. Channels and tools (350 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Internal and external channels.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summary table, plus discussion of fit using media richness and the four PR models.</w:t>
      </w:r>
    </w:p>
    <w:p>
      <w:pPr>
        <w:spacing w:after="120" w:line="288"/>
        <w:rPr>
          <w:color w:val="3A7D44"/>
        </w:rPr>
      </w:pPr>
      <w:r>
        <w:rPr>
          <w:b/>
          <w:bCs/>
          <w:color w:val="3A7D44"/>
        </w:rPr>
        <w:t xml:space="preserve">HD tip:</w:t>
      </w:r>
      <w:r>
        <w:rPr>
          <w:color w:val="3A7D44"/>
        </w:rPr>
        <w:t xml:space="preserve"> Group channels by purpose (routine information, governance, engagement, marketing) instead of listing them one by one.</w:t>
      </w:r>
    </w:p>
    <w:p>
      <w:pPr>
        <w:pStyle w:val="Heading2"/>
      </w:pPr>
      <w:r>
        <w:t xml:space="preserve">5. Evaluation (250 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Strengths, weaknesses, barriers and gaps, each with evidence.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Link each point back to a theory.</w:t>
      </w:r>
    </w:p>
    <w:p>
      <w:pPr>
        <w:spacing w:after="120" w:line="288"/>
        <w:rPr>
          <w:color w:val="3A7D44"/>
        </w:rPr>
      </w:pPr>
      <w:r>
        <w:rPr>
          <w:b/>
          <w:bCs/>
          <w:color w:val="3A7D44"/>
        </w:rPr>
        <w:t xml:space="preserve">HD tip:</w:t>
      </w:r>
      <w:r>
        <w:rPr>
          <w:color w:val="3A7D44"/>
        </w:rPr>
        <w:t xml:space="preserve"> Balance matters. Credit real strengths (E6, E7, E11) before the gaps (E14).</w:t>
      </w:r>
    </w:p>
    <w:p>
      <w:pPr>
        <w:pStyle w:val="Heading2"/>
      </w:pPr>
      <w:r>
        <w:t xml:space="preserve">6. Recommendations (150 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2–3 recommendations built with the table in Section 7.</w:t>
      </w:r>
    </w:p>
    <w:p>
      <w:pPr>
        <w:spacing w:after="120" w:line="288"/>
        <w:rPr>
          <w:color w:val="3A7D44"/>
        </w:rPr>
      </w:pPr>
      <w:r>
        <w:rPr>
          <w:b/>
          <w:bCs/>
          <w:color w:val="3A7D44"/>
        </w:rPr>
        <w:t xml:space="preserve">HD tip:</w:t>
      </w:r>
      <w:r>
        <w:rPr>
          <w:color w:val="3A7D44"/>
        </w:rPr>
        <w:t xml:space="preserve"> Each needs: finding, theory, action, channel and measure of success.</w:t>
      </w:r>
    </w:p>
    <w:p>
      <w:pPr>
        <w:pStyle w:val="Heading2"/>
      </w:pPr>
      <w:r>
        <w:t xml:space="preserve">7. Conclusion (50 words)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Key findings and one professional communication implication.</w:t>
      </w:r>
    </w:p>
    <w:p>
      <w:pPr>
        <w:spacing w:after="120" w:line="288"/>
        <w:rPr>
          <w:color w:val="3A7D44"/>
        </w:rPr>
      </w:pPr>
      <w:r>
        <w:rPr>
          <w:b/>
          <w:bCs/>
          <w:color w:val="3A7D44"/>
        </w:rPr>
        <w:t xml:space="preserve">HD tip:</w:t>
      </w:r>
      <w:r>
        <w:rPr>
          <w:color w:val="3A7D44"/>
        </w:rPr>
        <w:t xml:space="preserve"> No new evidence.</w:t>
      </w:r>
    </w:p>
    <w:p>
      <w:pPr>
        <w:pStyle w:val="Heading1"/>
      </w:pPr>
      <w:r>
        <w:t xml:space="preserve">7. Recommendation builder</w:t>
      </w:r>
    </w:p>
    <w:p>
      <w:pPr>
        <w:spacing w:after="120" w:line="288"/>
      </w:pPr>
      <w:r>
        <w:t xml:space="preserve">Pick 2–3 options, then justify them </w:t>
      </w:r>
      <w:r>
        <w:rPr>
          <w:b/>
          <w:bCs/>
        </w:rPr>
        <w:t xml:space="preserve">in your own words</w:t>
      </w:r>
      <w:r>
        <w:t xml:space="preserve">. The rubric rewards recommendations "clearly linked to audit findings and theory".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400"/>
        <w:gridCol w:w="1838"/>
        <w:gridCol w:w="170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7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Theory link</w:t>
            </w:r>
          </w:p>
        </w:tc>
        <w:tc>
          <w:tcPr>
            <w:tcW w:type="dxa" w:w="2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Possible action</w:t>
            </w:r>
          </w:p>
        </w:tc>
        <w:tc>
          <w:tcPr>
            <w:tcW w:type="dxa" w:w="18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 / audience</w:t>
            </w:r>
          </w:p>
        </w:tc>
        <w:tc>
          <w:tcPr>
            <w:tcW w:type="dxa" w:w="17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measure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Producers want transparency on levy results (E13, E14)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Stakeholder salience; two-way symmetrical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 annual interactive "levy at work" report with plain-language results by program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myMLA, </w:t>
            </w:r>
            <w:r>
              <w:rPr>
                <w:i/>
                <w:iCs/>
                <w:sz w:val="18"/>
                <w:szCs w:val="18"/>
              </w:rPr>
              <w:t xml:space="preserve">Feedback</w:t>
            </w:r>
            <w:r>
              <w:rPr>
                <w:sz w:val="18"/>
                <w:szCs w:val="18"/>
              </w:rPr>
              <w:t xml:space="preserve"> and print summary / all levy payers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Higher share of producers rating returns as moderate or better in the next review</w:t>
            </w:r>
          </w:p>
        </w:tc>
      </w:tr>
      <w:tr>
        <w:tc>
          <w:tcPr>
            <w:tcW w:type="dxa" w:w="2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Most channels are one-way (E6, E7)</w:t>
            </w:r>
          </w:p>
        </w:tc>
        <w:tc>
          <w:tcPr>
            <w:tcW w:type="dxa" w:w="17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Two-way symmetrical</w:t>
            </w:r>
          </w:p>
        </w:tc>
        <w:tc>
          <w:tcPr>
            <w:tcW w:type="dxa" w:w="24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published "you said, we did" loop after consultations and surveys</w:t>
            </w:r>
          </w:p>
        </w:tc>
        <w:tc>
          <w:tcPr>
            <w:tcW w:type="dxa" w:w="18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Newsletters, events / members and non-members</w:t>
            </w:r>
          </w:p>
        </w:tc>
        <w:tc>
          <w:tcPr>
            <w:tcW w:type="dxa" w:w="17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Number of producer inputs acknowledged and acted on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Few levy payers are members (E3, E4)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Salience (dependent stakeholders)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Simplify membership sign-up, e.g., a prompt when using myMLA or eNVDs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myMLA / non-member levy payers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Membership rate year on year</w:t>
            </w:r>
          </w:p>
        </w:tc>
      </w:tr>
      <w:tr>
        <w:tc>
          <w:tcPr>
            <w:tcW w:type="dxa" w:w="2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Digital gap among farmers (E16, E17)</w:t>
            </w:r>
          </w:p>
        </w:tc>
        <w:tc>
          <w:tcPr>
            <w:tcW w:type="dxa" w:w="17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Media richness; noise</w:t>
            </w:r>
          </w:p>
        </w:tc>
        <w:tc>
          <w:tcPr>
            <w:tcW w:type="dxa" w:w="24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Keep print and SMS options; run hybrid forums with phone dial-in</w:t>
            </w:r>
          </w:p>
        </w:tc>
        <w:tc>
          <w:tcPr>
            <w:tcW w:type="dxa" w:w="18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Multiple channels / low-connectivity producers</w:t>
            </w:r>
          </w:p>
        </w:tc>
        <w:tc>
          <w:tcPr>
            <w:tcW w:type="dxa" w:w="17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Attendance and reach outside major regions</w:t>
            </w:r>
          </w:p>
        </w:tc>
      </w:tr>
    </w:tbl>
    <w:p>
      <w:pPr>
        <w:pStyle w:val="Heading1"/>
      </w:pPr>
      <w:r>
        <w:t xml:space="preserve">8. Starter reference list (APA 7)</w:t>
      </w:r>
    </w:p>
    <w:p>
      <w:pPr>
        <w:spacing w:after="120" w:line="288"/>
        <w:rPr>
          <w:b/>
          <w:bCs/>
        </w:rPr>
      </w:pPr>
      <w:r>
        <w:rPr>
          <w:b/>
          <w:bCs/>
        </w:rPr>
        <w:t xml:space="preserve">Academic sources (verified details; still check each one in your library):</w:t>
      </w:r>
    </w:p>
    <w:p>
      <w:pPr>
        <w:spacing w:after="100" w:line="276"/>
        <w:ind w:left="720" w:hanging="720"/>
      </w:pPr>
      <w:r>
        <w:t xml:space="preserve">Daft, R. L., &amp; Lengel, R. H. (1986). Organizational information requirements, media richness and structural design. </w:t>
      </w:r>
      <w:r>
        <w:rPr>
          <w:i/>
          <w:iCs/>
        </w:rPr>
        <w:t xml:space="preserve">Management Science, 32</w:t>
      </w:r>
      <w:r>
        <w:t xml:space="preserve">(5), 554–571. https://doi.org/10.1287/mnsc.32.5.554</w:t>
      </w:r>
    </w:p>
    <w:p>
      <w:pPr>
        <w:spacing w:after="100" w:line="276"/>
        <w:ind w:left="720" w:hanging="720"/>
      </w:pPr>
      <w:r>
        <w:t xml:space="preserve">Dennis, A. R., &amp; Valacich, J. S. (1999). Rethinking media richness: Towards a theory of media synchronicity. In </w:t>
      </w:r>
      <w:r>
        <w:rPr>
          <w:i/>
          <w:iCs/>
        </w:rPr>
        <w:t xml:space="preserve">Proceedings of the 32nd Annual Hawaii International Conference on System Sciences</w:t>
      </w:r>
      <w:r>
        <w:t xml:space="preserve">. IEEE. https://doi.org/10.1109/HICSS.1999.772701</w:t>
      </w:r>
    </w:p>
    <w:p>
      <w:pPr>
        <w:spacing w:after="100" w:line="276"/>
        <w:ind w:left="720" w:hanging="720"/>
      </w:pPr>
      <w:r>
        <w:t xml:space="preserve">Dozier, D. M., Grunig, L. A., &amp; Grunig, J. E. (1995). </w:t>
      </w:r>
      <w:r>
        <w:rPr>
          <w:i/>
          <w:iCs/>
        </w:rPr>
        <w:t xml:space="preserve">Manager’s guide to excellence in public relations and communication management</w:t>
      </w:r>
      <w:r>
        <w:t xml:space="preserve">. Lawrence Erlbaum.</w:t>
      </w:r>
    </w:p>
    <w:p>
      <w:pPr>
        <w:spacing w:after="100" w:line="276"/>
        <w:ind w:left="720" w:hanging="720"/>
      </w:pPr>
      <w:r>
        <w:t xml:space="preserve">Freeman, R. E. (1984). </w:t>
      </w:r>
      <w:r>
        <w:rPr>
          <w:i/>
          <w:iCs/>
        </w:rPr>
        <w:t xml:space="preserve">Strategic management: A stakeholder approach</w:t>
      </w:r>
      <w:r>
        <w:t xml:space="preserve">. Pitman.</w:t>
      </w:r>
    </w:p>
    <w:p>
      <w:pPr>
        <w:spacing w:after="100" w:line="276"/>
        <w:ind w:left="720" w:hanging="720"/>
      </w:pPr>
      <w:r>
        <w:t xml:space="preserve">Grunig, J. E., &amp; Hunt, T. (1984). </w:t>
      </w:r>
      <w:r>
        <w:rPr>
          <w:i/>
          <w:iCs/>
        </w:rPr>
        <w:t xml:space="preserve">Managing public relations</w:t>
      </w:r>
      <w:r>
        <w:t xml:space="preserve">. Holt, Rinehart and Winston.</w:t>
      </w:r>
    </w:p>
    <w:p>
      <w:pPr>
        <w:spacing w:after="100" w:line="276"/>
        <w:ind w:left="720" w:hanging="720"/>
      </w:pPr>
      <w:r>
        <w:t xml:space="preserve">Marshall, A., Dezuanni, M., Burgess, J., Thomas, J., &amp; Wilson, C. K. (2020). Australian farmers left behind in the digital economy: Insights from the Australian Digital Inclusion Index. </w:t>
      </w:r>
      <w:r>
        <w:rPr>
          <w:i/>
          <w:iCs/>
        </w:rPr>
        <w:t xml:space="preserve">Journal of Rural Studies, 80</w:t>
      </w:r>
      <w:r>
        <w:t xml:space="preserve">, 195–210. https://doi.org/10.1016/j.jrurstud.2020.09.001</w:t>
      </w:r>
    </w:p>
    <w:p>
      <w:pPr>
        <w:spacing w:after="100" w:line="276"/>
        <w:ind w:left="720" w:hanging="720"/>
      </w:pPr>
      <w:r>
        <w:t xml:space="preserve">Mitchell, R. K., Agle, B. R., &amp; Wood, D. J. (1997). Toward a theory of stakeholder identification and salience: Defining the principle of who and what really counts. </w:t>
      </w:r>
      <w:r>
        <w:rPr>
          <w:i/>
          <w:iCs/>
        </w:rPr>
        <w:t xml:space="preserve">Academy of Management Review, 22</w:t>
      </w:r>
      <w:r>
        <w:t xml:space="preserve">(4), 853–886. https://doi.org/10.5465/amr.1997.9711022105</w:t>
      </w:r>
    </w:p>
    <w:p>
      <w:pPr>
        <w:spacing w:after="100" w:line="276"/>
        <w:ind w:left="720" w:hanging="720"/>
      </w:pPr>
      <w:r>
        <w:t xml:space="preserve">Shannon, C. E., &amp; Weaver, W. (1949). </w:t>
      </w:r>
      <w:r>
        <w:rPr>
          <w:i/>
          <w:iCs/>
        </w:rPr>
        <w:t xml:space="preserve">The mathematical theory of communication</w:t>
      </w:r>
      <w:r>
        <w:t xml:space="preserve">. University of Illinois Press.</w:t>
      </w:r>
    </w:p>
    <w:p>
      <w:pPr>
        <w:spacing w:after="100" w:line="276"/>
        <w:ind w:left="720" w:hanging="720"/>
      </w:pPr>
      <w:r>
        <w:rPr>
          <w:b/>
          <w:bCs/>
        </w:rPr>
        <w:t xml:space="preserve">Plus your unit’s prescribed textbook.</w:t>
      </w:r>
      <w:r>
        <w:t xml:space="preserve"> It counts toward the three academic sources.</w:t>
      </w:r>
    </w:p>
    <w:p>
      <w:pPr>
        <w:spacing w:after="120" w:line="288"/>
        <w:rPr>
          <w:b/>
          <w:bCs/>
        </w:rPr>
      </w:pPr>
      <w:r>
        <w:rPr>
          <w:b/>
          <w:bCs/>
        </w:rPr>
        <w:t xml:space="preserve">Organisational, industry and media sources: </w:t>
      </w:r>
      <w:r>
        <w:rPr>
          <w:b/>
          <w:bCs/>
        </w:rPr>
        <w:t xml:space="preserve">open each one and add the author and exact date before formatting in APA 7.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Beef Central: MLA’s $300m operating budget for 2024/25: </w:t>
      </w:r>
      <w:hyperlink w:history="1" r:id="rIdajqb4irb4qdxywdsy-9jb">
        <w:r>
          <w:rPr>
            <w:rStyle w:val="Hyperlink"/>
            <w:sz w:val="16"/>
            <w:szCs w:val="16"/>
          </w:rPr>
          <w:t xml:space="preserve">https://www.beefcentral.com/news/mlas-300m-operating-budget-for-2024-25-how-will-it-be-spent/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MLA Annual Report 2023–24: </w:t>
      </w:r>
      <w:hyperlink w:history="1" r:id="rIdgjwe5mctk7zc1ai1iizlc">
        <w:r>
          <w:rPr>
            <w:rStyle w:val="Hyperlink"/>
            <w:sz w:val="16"/>
            <w:szCs w:val="16"/>
          </w:rPr>
          <w:t xml:space="preserve">https://annualreport.mla.com.au/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MLA: Feedback magazine: </w:t>
      </w:r>
      <w:hyperlink w:history="1" r:id="rIdlxcb5qs4_d_zhrcowxsiy">
        <w:r>
          <w:rPr>
            <w:rStyle w:val="Hyperlink"/>
            <w:sz w:val="16"/>
            <w:szCs w:val="16"/>
          </w:rPr>
          <w:t xml:space="preserve">https://www.mla.com.au/news-and-events/publications/feedback-magazine/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MLA: myMLA: </w:t>
      </w:r>
      <w:hyperlink w:history="1" r:id="rId-tstb4idgizrmoshd6gwa">
        <w:r>
          <w:rPr>
            <w:rStyle w:val="Hyperlink"/>
            <w:sz w:val="16"/>
            <w:szCs w:val="16"/>
          </w:rPr>
          <w:t xml:space="preserve">https://www.mla.com.au/about-mla/mymla/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MLA: Event types (BeefUp): </w:t>
      </w:r>
      <w:hyperlink w:history="1" r:id="rIdzktey0kqz17b0slicsh_0">
        <w:r>
          <w:rPr>
            <w:rStyle w:val="Hyperlink"/>
            <w:sz w:val="16"/>
            <w:szCs w:val="16"/>
          </w:rPr>
          <w:t xml:space="preserve">https://www.mla.com.au/news-and-events/events-and-workshops/mla-event-types/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MLA: Annual General Meeting and voting entitlements: </w:t>
      </w:r>
      <w:hyperlink w:history="1" r:id="rIdlfwrdhh-jvoradjaw9mjj">
        <w:r>
          <w:rPr>
            <w:rStyle w:val="Hyperlink"/>
            <w:sz w:val="16"/>
            <w:szCs w:val="16"/>
          </w:rPr>
          <w:t xml:space="preserve">https://www.mla.com.au/news-and-events/industry-news/mlas-annual-general-meeting--your-voting-entitlements/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MLA: Summer Lamb 2025 campaign: </w:t>
      </w:r>
      <w:hyperlink w:history="1" r:id="rIds92ifpbsw0rb7mlo147ot">
        <w:r>
          <w:rPr>
            <w:rStyle w:val="Hyperlink"/>
            <w:sz w:val="16"/>
            <w:szCs w:val="16"/>
          </w:rPr>
          <w:t xml:space="preserve">https://www.mla.com.au/news-and-events/industry-news/out-of-the-comments-and-into-the-cutlets-mla-latest-summer-lamb-campaign/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MLA: The Greatest beef campaign returns: </w:t>
      </w:r>
      <w:hyperlink w:history="1" r:id="rIdy9yu5hh813s3rn_yfnyhi">
        <w:r>
          <w:rPr>
            <w:rStyle w:val="Hyperlink"/>
            <w:sz w:val="16"/>
            <w:szCs w:val="16"/>
          </w:rPr>
          <w:t xml:space="preserve">https://www.mla.com.au/news-and-events/industry-news/the-greatest-beef-campaign-is-back--bigger-bolder-and-beefier-than-ever/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Beef Central: Feedback from cattle levy review consultation meetings: </w:t>
      </w:r>
      <w:hyperlink w:history="1" r:id="rId6_fzv7hpr09pvpf0qctzr">
        <w:r>
          <w:rPr>
            <w:rStyle w:val="Hyperlink"/>
            <w:sz w:val="16"/>
            <w:szCs w:val="16"/>
          </w:rPr>
          <w:t xml:space="preserve">https://www.beefcentral.com/news/findings-from-cattle-levy-review-consultation-meetings-released/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Beef Central: Early levy review feedback: </w:t>
      </w:r>
      <w:hyperlink w:history="1" r:id="rIdptvmcfthnc6_mccv8hfem">
        <w:r>
          <w:rPr>
            <w:rStyle w:val="Hyperlink"/>
            <w:sz w:val="16"/>
            <w:szCs w:val="16"/>
          </w:rPr>
          <w:t xml:space="preserve">https://www.beefcentral.com/news/early-levy-review-feedback-reveals-support-for-marketing-biosecurity-and-representation/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Beef Central: Producer questions zero in on cattle levy: </w:t>
      </w:r>
      <w:hyperlink w:history="1" r:id="rIdupplawueblstvstlycxiv">
        <w:r>
          <w:rPr>
            <w:rStyle w:val="Hyperlink"/>
            <w:sz w:val="16"/>
            <w:szCs w:val="16"/>
          </w:rPr>
          <w:t xml:space="preserve">https://www.beefcentral.com/news/producer-questions-zero-in-on-cattle-levy-as-review-consultations-begin/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Senate RRAT References Committee (2014): Grass-fed cattle levies inquiry, Chapter 4: </w:t>
      </w:r>
      <w:hyperlink w:history="1" r:id="rIdx1g3j4zsnw-qjqthv4fke">
        <w:r>
          <w:rPr>
            <w:rStyle w:val="Hyperlink"/>
            <w:sz w:val="16"/>
            <w:szCs w:val="16"/>
          </w:rPr>
          <w:t xml:space="preserve">https://www.aph.gov.au/Parliamentary_Business/Committees/Senate/Rural_and_Regional_Affairs_and_Transport/Beef_levies/~/media/Committees/rrat_ctte/beef_levies/c04.pdf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The Land: MLA levy payer register: </w:t>
      </w:r>
      <w:hyperlink w:history="1" r:id="rIdyv-jun0bdyvo-wcubgsjy">
        <w:r>
          <w:rPr>
            <w:rStyle w:val="Hyperlink"/>
            <w:sz w:val="16"/>
            <w:szCs w:val="16"/>
          </w:rPr>
          <w:t xml:space="preserve">https://www.theland.com.au/story/7335745/mla-levy-register-about-time/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Australian Digital Inclusion Index 2023: </w:t>
      </w:r>
      <w:hyperlink w:history="1" r:id="rId_wu_rpykv0y-jieauwl5y">
        <w:r>
          <w:rPr>
            <w:rStyle w:val="Hyperlink"/>
            <w:sz w:val="16"/>
            <w:szCs w:val="16"/>
          </w:rPr>
          <w:t xml:space="preserve">https://digitalinclusionindex.org.au/</w:t>
        </w:r>
      </w:hyperlink>
    </w:p>
    <w:p>
      <w:pPr>
        <w:pStyle w:val="Heading1"/>
      </w:pPr>
      <w:r>
        <w:t xml:space="preserve">9. HD self-check against the rubric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 (marks)</w:t>
            </w:r>
          </w:p>
        </w:tc>
        <w:tc>
          <w:tcPr>
            <w:tcW w:type="dxa" w:w="6638"/>
            <w:shd w:fill="3A7D4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 when true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Introduction and scope (2)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Agribusiness context in one or two facts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Purpose, scope and limitation stated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Roadmap sentence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Theory (3)</w:t>
            </w:r>
          </w:p>
        </w:tc>
        <w:tc>
          <w:tcPr>
            <w:tcW w:type="dxa" w:w="66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At least 2 theories, each with a critique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Every theory used later as an evaluation lens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Not just definitions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Stakeholders (3)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Internal and external groups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Needs, interests and influence for each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Figure or table, justified in text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Channels (3)</w:t>
            </w:r>
          </w:p>
        </w:tc>
        <w:tc>
          <w:tcPr>
            <w:tcW w:type="dxa" w:w="66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Internal and external channels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Suitability, strengths, limits and stakeholder fit judged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Linked to media richness or PR models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Evaluation and recommendations (2)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Every finding has evidence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Each recommendation links finding + theory + action + measure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Research, writing, APA (2)</w:t>
            </w:r>
          </w:p>
        </w:tc>
        <w:tc>
          <w:tcPr>
            <w:tcW w:type="dxa" w:w="6638"/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At least 3 academic and 2 organisational sources (aim for 10+)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Every source opened and checked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APA 7 in-text and reference list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Title page, numbered headings, .docx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AI use declared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MLA audit toolkit (planning notes)  ·  </w:t>
    </w:r>
    <w:r>
      <w:rPr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3A7D4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ajqb4irb4qdxywdsy-9jb" Type="http://schemas.openxmlformats.org/officeDocument/2006/relationships/hyperlink" Target="https://www.beefcentral.com/news/mlas-300m-operating-budget-for-2024-25-how-will-it-be-spent/" TargetMode="External"/><Relationship Id="rIdgjwe5mctk7zc1ai1iizlc" Type="http://schemas.openxmlformats.org/officeDocument/2006/relationships/hyperlink" Target="https://annualreport.mla.com.au/" TargetMode="External"/><Relationship Id="rIdlxcb5qs4_d_zhrcowxsiy" Type="http://schemas.openxmlformats.org/officeDocument/2006/relationships/hyperlink" Target="https://www.mla.com.au/news-and-events/publications/feedback-magazine/" TargetMode="External"/><Relationship Id="rId-tstb4idgizrmoshd6gwa" Type="http://schemas.openxmlformats.org/officeDocument/2006/relationships/hyperlink" Target="https://www.mla.com.au/about-mla/mymla/" TargetMode="External"/><Relationship Id="rIdzktey0kqz17b0slicsh_0" Type="http://schemas.openxmlformats.org/officeDocument/2006/relationships/hyperlink" Target="https://www.mla.com.au/news-and-events/events-and-workshops/mla-event-types/" TargetMode="External"/><Relationship Id="rIdlfwrdhh-jvoradjaw9mjj" Type="http://schemas.openxmlformats.org/officeDocument/2006/relationships/hyperlink" Target="https://www.mla.com.au/news-and-events/industry-news/mlas-annual-general-meeting--your-voting-entitlements/" TargetMode="External"/><Relationship Id="rIds92ifpbsw0rb7mlo147ot" Type="http://schemas.openxmlformats.org/officeDocument/2006/relationships/hyperlink" Target="https://www.mla.com.au/news-and-events/industry-news/out-of-the-comments-and-into-the-cutlets-mla-latest-summer-lamb-campaign/" TargetMode="External"/><Relationship Id="rIdy9yu5hh813s3rn_yfnyhi" Type="http://schemas.openxmlformats.org/officeDocument/2006/relationships/hyperlink" Target="https://www.mla.com.au/news-and-events/industry-news/the-greatest-beef-campaign-is-back--bigger-bolder-and-beefier-than-ever/" TargetMode="External"/><Relationship Id="rId6_fzv7hpr09pvpf0qctzr" Type="http://schemas.openxmlformats.org/officeDocument/2006/relationships/hyperlink" Target="https://www.beefcentral.com/news/findings-from-cattle-levy-review-consultation-meetings-released/" TargetMode="External"/><Relationship Id="rIdptvmcfthnc6_mccv8hfem" Type="http://schemas.openxmlformats.org/officeDocument/2006/relationships/hyperlink" Target="https://www.beefcentral.com/news/early-levy-review-feedback-reveals-support-for-marketing-biosecurity-and-representation/" TargetMode="External"/><Relationship Id="rIdupplawueblstvstlycxiv" Type="http://schemas.openxmlformats.org/officeDocument/2006/relationships/hyperlink" Target="https://www.beefcentral.com/news/producer-questions-zero-in-on-cattle-levy-as-review-consultations-begin/" TargetMode="External"/><Relationship Id="rIdx1g3j4zsnw-qjqthv4fke" Type="http://schemas.openxmlformats.org/officeDocument/2006/relationships/hyperlink" Target="https://www.aph.gov.au/Parliamentary_Business/Committees/Senate/Rural_and_Regional_Affairs_and_Transport/Beef_levies/~/media/Committees/rrat_ctte/beef_levies/c04.pdf" TargetMode="External"/><Relationship Id="rIdyv-jun0bdyvo-wcubgsjy" Type="http://schemas.openxmlformats.org/officeDocument/2006/relationships/hyperlink" Target="https://www.theland.com.au/story/7335745/mla-levy-register-about-time/" TargetMode="External"/><Relationship Id="rId_wu_rpykv0y-jieauwl5y" Type="http://schemas.openxmlformats.org/officeDocument/2006/relationships/hyperlink" Target="https://digitalinclusionindex.org.au/" TargetMode="External"/><Relationship Id="rId8" Type="http://schemas.openxmlformats.org/officeDocument/2006/relationships/image" Target="media/6e6d3b17cfb322de618ab8a6734666ee7c0a9ad0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BC400 A1A MLA Audit Toolkit</dc:title>
  <dc:creator>Student</dc:creator>
  <cp:lastModifiedBy>Un-named</cp:lastModifiedBy>
  <cp:revision>1</cp:revision>
  <dcterms:created xsi:type="dcterms:W3CDTF">2026-10-02T17:47:50.753Z</dcterms:created>
  <dcterms:modified xsi:type="dcterms:W3CDTF">2026-10-02T17:47:50.758Z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