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sz w:val="30"/>
          <w:szCs w:val="30"/>
        </w:rPr>
        <w:t xml:space="preserve">Critical Appraisal of Cyber Investigation Tools in Data Breach Response</w:t>
      </w:r>
    </w:p>
    <w:p>
      <w:pPr>
        <w:spacing w:after="200"/>
        <w:jc w:val="center"/>
      </w:pPr>
      <w:r>
        <w:t xml:space="preserve">Assessment 3: Written Report</w:t>
      </w:r>
    </w:p>
    <w:p>
      <w:pPr>
        <w:spacing w:after="600"/>
      </w:pPr>
    </w:p>
    <w:p>
      <w:pPr>
        <w:spacing w:after="200"/>
        <w:jc w:val="center"/>
      </w:pPr>
      <w:r>
        <w:t xml:space="preserve">[Student Name]</w:t>
      </w:r>
    </w:p>
    <w:p>
      <w:pPr>
        <w:spacing w:after="200"/>
        <w:jc w:val="center"/>
      </w:pPr>
      <w:r>
        <w:t xml:space="preserve">[Student ID]</w:t>
      </w:r>
    </w:p>
    <w:p>
      <w:pPr>
        <w:spacing w:after="200"/>
        <w:jc w:val="center"/>
      </w:pPr>
      <w:r>
        <w:t xml:space="preserve">MIS5304 Cyber Security Risk Management</w:t>
      </w:r>
    </w:p>
    <w:p>
      <w:pPr>
        <w:spacing w:after="200"/>
        <w:jc w:val="center"/>
      </w:pPr>
      <w:r>
        <w:t xml:space="preserve">Master of Information Systems</w:t>
      </w:r>
    </w:p>
    <w:p>
      <w:pPr>
        <w:spacing w:after="200"/>
        <w:jc w:val="center"/>
      </w:pPr>
      <w:r>
        <w:t xml:space="preserve">Apex Australia Higher Education</w:t>
      </w:r>
    </w:p>
    <w:p>
      <w:pPr>
        <w:spacing w:after="200"/>
        <w:jc w:val="center"/>
      </w:pPr>
      <w:r>
        <w:t xml:space="preserve">Lecturer: [Lecturer Name]</w:t>
      </w:r>
    </w:p>
    <w:p>
      <w:pPr>
        <w:spacing w:after="200"/>
        <w:jc w:val="center"/>
      </w:pPr>
      <w:r>
        <w:t xml:space="preserve">18 October 2026</w:t>
      </w:r>
    </w:p>
    <w:p>
      <w:pPr>
        <w:spacing w:after="200"/>
        <w:jc w:val="center"/>
      </w:pPr>
      <w:r>
        <w:t xml:space="preserve">Word count: 1,495 including tables (1,275 body text), excluding references and appendix</w:t>
      </w:r>
    </w:p>
    <w:p>
      <w:r>
        <w:br w:type="page"/>
      </w:r>
    </w:p>
    <w:p>
      <w:pPr>
        <w:pStyle w:val="Heading1"/>
      </w:pPr>
      <w:r>
        <w:t xml:space="preserve">1. Introduction</w:t>
      </w:r>
    </w:p>
    <w:p>
      <w:pPr>
        <w:spacing w:after="160" w:line="360"/>
      </w:pPr>
      <w:r>
        <w:t xml:space="preserve">Between 2022 and 2023, data breaches at Optus, Medibank and Latitude Financial exposed the personal information of millions of Australians and led to regulatory proceedings, making investigative capability a board-level risk. The threat has not eased: in 2024–25 the Australian Signals Directorate (ASD) responded to more than 1,200 cyber security incidents, an 11% increase on the previous year (ASD, 2025). This report critically appraises four categories of cyber investigation tools: security information and event management (SIEM) and log analytics, endpoint detection and response (EDR/XDR), digital forensics and incident response (DFIR) tools, and threat intelligence platforms (TIPs). Each is evaluated against five criteria (coverage, detection accuracy, cost, skills required and integration) for both prevention and incident response, and aligned with the NIST Cybersecurity Framework (CSF) 2.0 (National Institute of Standards and Technology [NIST], 2024). Regulator claims are described as allegations, and no organisation is said to have used a tool unless a source confirms it.</w:t>
      </w:r>
    </w:p>
    <w:p>
      <w:pPr>
        <w:pStyle w:val="Heading1"/>
      </w:pPr>
      <w:r>
        <w:t xml:space="preserve">2. Overview of Cyber Investigation Tools</w:t>
      </w:r>
    </w:p>
    <w:p>
      <w:pPr>
        <w:spacing w:after="160" w:line="360"/>
      </w:pPr>
      <w:r>
        <w:rPr>
          <w:b/>
          <w:bCs/>
        </w:rPr>
        <w:t xml:space="preserve">SIEM and log analytics</w:t>
      </w:r>
      <w:r>
        <w:t xml:space="preserve"> centralise and correlate event logs across networks, identities, applications and cloud services. They underpin ASD’s guidance on centralised logging and threat detection (ASD’s Australian Cyber Security Centre [ACSC] et al., 2024). </w:t>
      </w:r>
      <w:r>
        <w:rPr>
          <w:b/>
          <w:bCs/>
        </w:rPr>
        <w:t xml:space="preserve">EDR/XDR</w:t>
      </w:r>
      <w:r>
        <w:t xml:space="preserve"> platforms collect detailed endpoint telemetry, detect malicious behaviour and can isolate hosts; XDR extends this to email, identity and cloud. </w:t>
      </w:r>
      <w:r>
        <w:rPr>
          <w:b/>
          <w:bCs/>
        </w:rPr>
        <w:t xml:space="preserve">DFIR tools</w:t>
      </w:r>
      <w:r>
        <w:t xml:space="preserve"> acquire and analyse disk, memory and cloud evidence to reconstruct timelines, establish root cause and determine which data was accessed. </w:t>
      </w:r>
      <w:r>
        <w:rPr>
          <w:b/>
          <w:bCs/>
        </w:rPr>
        <w:t xml:space="preserve">TIPs</w:t>
      </w:r>
      <w:r>
        <w:t xml:space="preserve"> aggregate and contextualise indicators of compromise and adversary techniques so that defenders can prioritise the threats most relevant to their sector.</w:t>
      </w:r>
    </w:p>
    <w:p>
      <w:pPr>
        <w:pStyle w:val="Heading1"/>
      </w:pPr>
      <w:r>
        <w:t xml:space="preserve">3. Critical Appraisal: Risk Assessment and Mitigation</w:t>
      </w:r>
    </w:p>
    <w:p>
      <w:pPr>
        <w:spacing w:after="160" w:line="360"/>
      </w:pPr>
      <w:r>
        <w:t xml:space="preserve">Table 1 summarises the appraisal. SIEM offers the broadest preparatory value because building log coverage exposes blind spots, supporting the CSF Identify (risk assessment) and Detect (continuous monitoring) outcomes. Its weaknesses are cost, which rises with data volume, and accuracy, which depends on continual tuning. In interviews with security operations centre (SOC) analysts, Alahmadi et al. (2022) found that most alarms were perceived as false positives, producing alert fatigue and eroding trust in tools. González-Granadillo et al. (2021) similarly identify integration complexity and skills demand as key barriers to SIEM adoption.</w:t>
      </w:r>
    </w:p>
    <w:p>
      <w:pPr>
        <w:keepNext/>
        <w:spacing w:after="0" w:before="200"/>
      </w:pPr>
      <w:r>
        <w:rPr>
          <w:b/>
          <w:bCs/>
        </w:rPr>
        <w:t xml:space="preserve">Table 1</w:t>
      </w:r>
    </w:p>
    <w:p>
      <w:pPr>
        <w:keepNext/>
        <w:spacing w:after="120"/>
      </w:pPr>
      <w:r>
        <w:rPr>
          <w:i/>
          <w:iCs/>
        </w:rPr>
        <w:t xml:space="preserve">Appraisal of Cyber Investigation Tool Categories Against Evaluation Criteria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450"/>
        <w:gridCol w:w="1100"/>
        <w:gridCol w:w="1150"/>
        <w:gridCol w:w="900"/>
        <w:gridCol w:w="950"/>
        <w:gridCol w:w="1150"/>
        <w:gridCol w:w="1150"/>
        <w:gridCol w:w="1176"/>
      </w:tblGrid>
      <w:tr>
        <w:trPr>
          <w:tblHeader/>
        </w:trPr>
        <w:tc>
          <w:tcPr>
            <w:tcW w:type="dxa" w:w="145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Category</w:t>
            </w:r>
          </w:p>
        </w:tc>
        <w:tc>
          <w:tcPr>
            <w:tcW w:type="dxa" w:w="110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Coverage</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Detection accuracy</w:t>
            </w:r>
          </w:p>
        </w:tc>
        <w:tc>
          <w:tcPr>
            <w:tcW w:type="dxa" w:w="90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Cost</w:t>
            </w:r>
          </w:p>
        </w:tc>
        <w:tc>
          <w:tcPr>
            <w:tcW w:type="dxa" w:w="95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Skills required</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Integration</w:t>
            </w:r>
          </w:p>
        </w:tc>
        <w:tc>
          <w:tcPr>
            <w:tcW w:type="dxa" w:w="115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Prevention value</w:t>
            </w:r>
          </w:p>
        </w:tc>
        <w:tc>
          <w:tcPr>
            <w:tcW w:type="dxa" w:w="1176"/>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Response value</w:t>
            </w:r>
          </w:p>
        </w:tc>
      </w:tr>
      <w:tr>
        <w:trPr>
          <w:cantSplit/>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SIEM / log analytics</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 (enterprise-wide)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 (tuning-dependent)</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 (hub)</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c>
          <w:tcPr>
            <w:tcW w:type="dxa" w:w="1176"/>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r>
      <w:tr>
        <w:trPr>
          <w:cantSplit/>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EDR / XDR</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 (managed endpoints)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c>
          <w:tcPr>
            <w:tcW w:type="dxa" w:w="1176"/>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r>
      <w:tr>
        <w:trPr>
          <w:cantSplit/>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DFIR tools</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Targeted</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 (post-event)</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Medium (often retainer)</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Very high</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Low</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Low–Medium</w:t>
            </w:r>
          </w:p>
        </w:tc>
        <w:tc>
          <w:tcPr>
            <w:tcW w:type="dxa" w:w="1176"/>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High</w:t>
            </w:r>
          </w:p>
        </w:tc>
      </w:tr>
      <w:tr>
        <w:trPr>
          <w:cantSplit/>
        </w:trPr>
        <w:tc>
          <w:tcPr>
            <w:tcW w:type="dxa" w:w="145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Threat intelligence platforms</w:t>
            </w:r>
          </w:p>
        </w:tc>
        <w:tc>
          <w:tcPr>
            <w:tcW w:type="dxa" w:w="110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External threats</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Variable</w:t>
            </w:r>
          </w:p>
        </w:tc>
        <w:tc>
          <w:tcPr>
            <w:tcW w:type="dxa" w:w="90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95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High</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115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Medium</w:t>
            </w:r>
          </w:p>
        </w:tc>
        <w:tc>
          <w:tcPr>
            <w:tcW w:type="dxa" w:w="1176"/>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Low–Medium</w:t>
            </w:r>
          </w:p>
        </w:tc>
      </w:tr>
    </w:tbl>
    <w:p>
      <w:pPr>
        <w:spacing w:after="240" w:before="80" w:line="276"/>
      </w:pPr>
      <w:r>
        <w:rPr>
          <w:i/>
          <w:iCs/>
          <w:sz w:val="20"/>
          <w:szCs w:val="20"/>
        </w:rPr>
        <w:t xml:space="preserve">Note. </w:t>
      </w:r>
      <w:r>
        <w:rPr>
          <w:sz w:val="20"/>
          <w:szCs w:val="20"/>
        </w:rPr>
        <w:t xml:space="preserve">Ratings are the author’s assessment, informed by Alahmadi et al. (2022), ASD’s ACSC et al. (2024) and González-Granadillo et al. (2021).</w:t>
      </w:r>
    </w:p>
    <w:p>
      <w:pPr>
        <w:spacing w:after="160" w:line="360"/>
      </w:pPr>
      <w:r>
        <w:t xml:space="preserve">EDR provides the highest-fidelity endpoint signals and can block known techniques, supporting the Protect function. However, its coverage stops at managed devices, leaving unmanaged contractor machines, application programming interfaces (APIs) and software-as-a-service (SaaS) platforms outside its view. DFIR tools are largely reactive, but they have a preparatory role through forensic readiness: defined log retention, evidence-handling procedures and rehearsed playbooks. Their main constraint is scarce specialist skills, which many organisations obtain through external retainers. TIPs can make risk assessment more relevant to the organisation, but without mature analysts to act on them they add noise rather than insight, which makes them the least suitable first investment. Their value also depends on sharing relationships, such as ASD’s Cyber Threat Intelligence Sharing platform.</w:t>
      </w:r>
    </w:p>
    <w:p>
      <w:pPr>
        <w:spacing w:after="160" w:line="360"/>
      </w:pPr>
      <w:r>
        <w:t xml:space="preserve">Figure 1 maps each category to the six CSF 2.0 functions. No single tool spans the framework, and none addresses Govern directly. Tools therefore complement, rather than replace, baseline controls such as ASD’s Essential Eight, including multi-factor authentication (MFA; ASD, 2023).</w:t>
      </w:r>
    </w:p>
    <w:p>
      <w:pPr>
        <w:keepNext/>
        <w:spacing w:after="0" w:before="200"/>
      </w:pPr>
      <w:r>
        <w:rPr>
          <w:b/>
          <w:bCs/>
        </w:rPr>
        <w:t xml:space="preserve">Figure 1</w:t>
      </w:r>
    </w:p>
    <w:p>
      <w:pPr>
        <w:keepNext/>
        <w:spacing w:after="120"/>
      </w:pPr>
      <w:r>
        <w:rPr>
          <w:i/>
          <w:iCs/>
        </w:rPr>
        <w:t xml:space="preserve">Mapping of Tool Categories to NIST CSF 2.0 Functions</w:t>
      </w:r>
    </w:p>
    <w:p>
      <w:pPr>
        <w:keepNext/>
        <w:jc w:val="center"/>
      </w:pPr>
      <w:r>
        <w:drawing>
          <wp:inline distT="0" distB="0" distL="0" distR="0">
            <wp:extent cx="5715000" cy="1933575"/>
            <wp:effectExtent t="0" r="0" b="0" l="0"/>
            <wp:docPr id="1" name="fig1" descr="Tool categories mapped to NIST CSF 2.0 function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33575"/>
                    </a:xfrm>
                    <a:prstGeom prst="rect">
                      <a:avLst/>
                    </a:prstGeom>
                  </pic:spPr>
                </pic:pic>
              </a:graphicData>
            </a:graphic>
          </wp:inline>
        </w:drawing>
      </w:r>
    </w:p>
    <w:p>
      <w:pPr>
        <w:spacing w:after="240" w:before="80" w:line="276"/>
      </w:pPr>
      <w:r>
        <w:rPr>
          <w:i/>
          <w:iCs/>
          <w:sz w:val="20"/>
          <w:szCs w:val="20"/>
        </w:rPr>
        <w:t xml:space="preserve">Note. </w:t>
      </w:r>
      <w:r>
        <w:rPr>
          <w:sz w:val="20"/>
          <w:szCs w:val="20"/>
        </w:rPr>
        <w:t xml:space="preserve">Author’s mapping based on NIST (2024) and Nelson et al. (2025). Dark = primary contribution; light = supporting contribution; blank = little or no contribution.</w:t>
      </w:r>
    </w:p>
    <w:p>
      <w:pPr>
        <w:pStyle w:val="Heading1"/>
      </w:pPr>
      <w:r>
        <w:t xml:space="preserve">4. Critical Appraisal: Incident Response</w:t>
      </w:r>
    </w:p>
    <w:p>
      <w:pPr>
        <w:spacing w:after="160" w:line="360"/>
      </w:pPr>
      <w:r>
        <w:t xml:space="preserve">NIST SP 800-61 Revision 3 reframes incident response as a continuous part of risk management rather than a separate, one-off activity (Nelson et al., 2025). Appraised against its phases, the tools play complementary roles. For </w:t>
      </w:r>
      <w:r>
        <w:rPr>
          <w:b/>
          <w:bCs/>
        </w:rPr>
        <w:t xml:space="preserve">detection</w:t>
      </w:r>
      <w:r>
        <w:t xml:space="preserve">, SIEM correlation across identity, network and endpoint data is strongest, while EDR provides the earliest endpoint signal. Medibank shows that detection depends on people and process as much as technology: the Office of the Australian Information Commissioner (OAIC) alleges that Medibank’s EDR software generated alerts on 24–25 August 2022 that were not appropriately triaged or escalated (OAIC, 2024). For </w:t>
      </w:r>
      <w:r>
        <w:rPr>
          <w:b/>
          <w:bCs/>
        </w:rPr>
        <w:t xml:space="preserve">containment</w:t>
      </w:r>
      <w:r>
        <w:t xml:space="preserve">, EDR host isolation and credential revocation are the fastest levers, but they depend on authority to act quickly; pre-approved containment playbooks, which SP 800-61r3 encourages, shorten the delay between detection and action. For </w:t>
      </w:r>
      <w:r>
        <w:rPr>
          <w:b/>
          <w:bCs/>
        </w:rPr>
        <w:t xml:space="preserve">eradication</w:t>
      </w:r>
      <w:r>
        <w:t xml:space="preserve">, DFIR analysis is essential to find persistence mechanisms and confirm root cause; without it, attackers may return. For </w:t>
      </w:r>
      <w:r>
        <w:rPr>
          <w:b/>
          <w:bCs/>
        </w:rPr>
        <w:t xml:space="preserve">recovery</w:t>
      </w:r>
      <w:r>
        <w:t xml:space="preserve">, forensic scoping determines who must be notified. At Latitude, the reported number of affected records rose from about 328,000 to around 14 million as the investigation progressed (SecurityWeek, 2023). This illustrates, in my analysis, how difficult scoping becomes when legacy data is retained.</w:t>
      </w:r>
    </w:p>
    <w:p>
      <w:pPr>
        <w:pStyle w:val="Heading1"/>
      </w:pPr>
      <w:r>
        <w:t xml:space="preserve">5. Discussion: Lessons from Recent Breaches</w:t>
      </w:r>
    </w:p>
    <w:p>
      <w:pPr>
        <w:spacing w:after="160" w:line="360"/>
      </w:pPr>
      <w:r>
        <w:t xml:space="preserve">Table 2 separates documented facts from this report’s analysis. In none of the three cases does the public record show that the absence of a tool was the primary cause; the documented failures relate to asset visibility, identity controls and alert handling.</w:t>
      </w:r>
    </w:p>
    <w:p>
      <w:pPr>
        <w:keepNext/>
        <w:spacing w:after="0" w:before="200"/>
      </w:pPr>
      <w:r>
        <w:rPr>
          <w:b/>
          <w:bCs/>
        </w:rPr>
        <w:t xml:space="preserve">Table 2</w:t>
      </w:r>
    </w:p>
    <w:p>
      <w:pPr>
        <w:keepNext/>
        <w:spacing w:after="120"/>
      </w:pPr>
      <w:r>
        <w:rPr>
          <w:i/>
          <w:iCs/>
        </w:rPr>
        <w:t xml:space="preserve">Documented Facts Versus Analysis of Tool Capabilities in Three Australian Breaches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00"/>
        <w:gridCol w:w="4300"/>
        <w:gridCol w:w="3226"/>
      </w:tblGrid>
      <w:tr>
        <w:trPr>
          <w:tblHeader/>
        </w:trPr>
        <w:tc>
          <w:tcPr>
            <w:tcW w:type="dxa" w:w="150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Breach</w:t>
            </w:r>
          </w:p>
        </w:tc>
        <w:tc>
          <w:tcPr>
            <w:tcW w:type="dxa" w:w="4300"/>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Publicly documented (source)</w:t>
            </w:r>
          </w:p>
        </w:tc>
        <w:tc>
          <w:tcPr>
            <w:tcW w:type="dxa" w:w="3226"/>
            <w:tcBorders>
              <w:top w:val="single" w:color="000000" w:sz="6"/>
              <w:left w:val="none" w:color="FFFFFF" w:sz="0"/>
              <w:bottom w:val="single" w:color="000000" w:sz="6"/>
              <w:right w:val="none" w:color="FFFFFF" w:sz="0"/>
            </w:tcBorders>
            <w:tcMar>
              <w:top w:type="dxa" w:w="50"/>
              <w:left w:type="dxa" w:w="80"/>
              <w:bottom w:type="dxa" w:w="50"/>
              <w:right w:type="dxa" w:w="80"/>
            </w:tcMar>
          </w:tcPr>
          <w:p>
            <w:r>
              <w:rPr>
                <w:b/>
                <w:bCs/>
                <w:sz w:val="19"/>
                <w:szCs w:val="19"/>
              </w:rPr>
              <w:t xml:space="preserve">Analysis: capabilities that could have helped</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Optus (2022)</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Alleged access-control coding error on a dormant, internet-facing API; about 9.5 million affected (iTnews, 2024; OAIC, 2025)</w:t>
            </w:r>
          </w:p>
        </w:tc>
        <w:tc>
          <w:tcPr>
            <w:tcW w:type="dxa" w:w="3226"/>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Attack surface inventory, API testing, SIEM monitoring of API volumes</w:t>
            </w:r>
          </w:p>
        </w:tc>
      </w:tr>
      <w:tr>
        <w:trPr>
          <w:cantSplit/>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Medibank (2022)</w:t>
            </w:r>
          </w:p>
        </w:tc>
        <w:tc>
          <w:tcPr>
            <w:tcW w:type="dxa" w:w="4300"/>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Stolen contractor credentials; VPN without MFA; EDR alerts not triaged; about 520 GB extracted (OAIC, 2024)</w:t>
            </w:r>
          </w:p>
        </w:tc>
        <w:tc>
          <w:tcPr>
            <w:tcW w:type="dxa" w:w="3226"/>
            <w:tcBorders>
              <w:top w:val="none" w:color="FFFFFF" w:sz="0"/>
              <w:left w:val="none" w:color="FFFFFF" w:sz="0"/>
              <w:bottom w:val="none" w:color="FFFFFF" w:sz="0"/>
              <w:right w:val="none" w:color="FFFFFF" w:sz="0"/>
            </w:tcBorders>
            <w:tcMar>
              <w:top w:type="dxa" w:w="50"/>
              <w:left w:type="dxa" w:w="80"/>
              <w:bottom w:type="dxa" w:w="50"/>
              <w:right w:type="dxa" w:w="80"/>
            </w:tcMar>
          </w:tcPr>
          <w:p>
            <w:r>
              <w:rPr>
                <w:b w:val="false"/>
                <w:bCs w:val="false"/>
                <w:sz w:val="19"/>
                <w:szCs w:val="19"/>
              </w:rPr>
              <w:t xml:space="preserve">Enforced MFA, 24/7 triage or MDR, SIEM–EDR correlation</w:t>
            </w:r>
          </w:p>
        </w:tc>
      </w:tr>
      <w:tr>
        <w:trPr>
          <w:cantSplit/>
        </w:trPr>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Latitude (2023)</w:t>
            </w:r>
          </w:p>
        </w:tc>
        <w:tc>
          <w:tcPr>
            <w:tcW w:type="dxa" w:w="4300"/>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Vendor-linked credentials; about 14 million records; investigation ongoing (ACS Information Age, 2023; SecurityWeek, 2023)</w:t>
            </w:r>
          </w:p>
        </w:tc>
        <w:tc>
          <w:tcPr>
            <w:tcW w:type="dxa" w:w="3226"/>
            <w:tcBorders>
              <w:top w:val="none" w:color="FFFFFF" w:sz="0"/>
              <w:left w:val="none" w:color="FFFFFF" w:sz="0"/>
              <w:bottom w:val="single" w:color="000000" w:sz="6"/>
              <w:right w:val="none" w:color="FFFFFF" w:sz="0"/>
            </w:tcBorders>
            <w:tcMar>
              <w:top w:type="dxa" w:w="50"/>
              <w:left w:type="dxa" w:w="80"/>
              <w:bottom w:type="dxa" w:w="50"/>
              <w:right w:type="dxa" w:w="80"/>
            </w:tcMar>
          </w:tcPr>
          <w:p>
            <w:r>
              <w:rPr>
                <w:b w:val="false"/>
                <w:bCs w:val="false"/>
                <w:sz w:val="19"/>
                <w:szCs w:val="19"/>
              </w:rPr>
              <w:t xml:space="preserve">Identity analytics on third-party accounts, data minimisation</w:t>
            </w:r>
          </w:p>
        </w:tc>
      </w:tr>
    </w:tbl>
    <w:p>
      <w:pPr>
        <w:spacing w:after="240" w:before="80" w:line="276"/>
      </w:pPr>
      <w:r>
        <w:rPr>
          <w:i/>
          <w:iCs/>
          <w:sz w:val="20"/>
          <w:szCs w:val="20"/>
        </w:rPr>
        <w:t xml:space="preserve">Note. </w:t>
      </w:r>
      <w:r>
        <w:rPr>
          <w:sz w:val="20"/>
          <w:szCs w:val="20"/>
        </w:rPr>
        <w:t xml:space="preserve">Facts are as alleged or reported in the cited sources; the right-hand column is the author’s analysis.</w:t>
      </w:r>
    </w:p>
    <w:p>
      <w:pPr>
        <w:spacing w:after="160" w:line="360"/>
      </w:pPr>
      <w:r>
        <w:t xml:space="preserve">At </w:t>
      </w:r>
      <w:r>
        <w:rPr>
          <w:b/>
          <w:bCs/>
        </w:rPr>
        <w:t xml:space="preserve">Optus</w:t>
      </w:r>
      <w:r>
        <w:t xml:space="preserve">, the Australian Communications and Media Authority (ACMA) alleges that a 2018 coding error left access controls on a dormant, internet-facing API ineffective, and that the error was fixed on the main domain but not on the subdomain hosting the API (iTnews, 2024). The OAIC alleges that around 9.5 million Australians were affected (OAIC, 2025). In my analysis, this was primarily an Identify and Protect failure: an accurate inventory of internet-facing assets and API security testing would probably have found the endpoint, while SIEM analysis of API request volumes could have flagged bulk data harvesting. At </w:t>
      </w:r>
      <w:r>
        <w:rPr>
          <w:b/>
          <w:bCs/>
        </w:rPr>
        <w:t xml:space="preserve">Medibank</w:t>
      </w:r>
      <w:r>
        <w:t xml:space="preserve">, the documented sequence (credentials stolen from a contractor, VPN access without MFA, untriaged EDR alerts, and about 520 GB extracted before high-severity triage on 11 October 2022) shows that detection technology generated signals that the organisation did not act on (OAIC, 2024). Enforced MFA and assured 24/7 triage would, in my view, have broken this chain earlier. At </w:t>
      </w:r>
      <w:r>
        <w:rPr>
          <w:b/>
          <w:bCs/>
        </w:rPr>
        <w:t xml:space="preserve">Latitude</w:t>
      </w:r>
      <w:r>
        <w:t xml:space="preserve">, attackers used credentials obtained through a major vendor, and the breach cost about $76 million (ACS Information Age, 2023). Public technical detail is limited and the OAIC investigation continues, so conclusions are tentative; identity analytics on third-party accounts and data minimisation appear the most relevant capabilities.</w:t>
      </w:r>
    </w:p>
    <w:p>
      <w:pPr>
        <w:pStyle w:val="Heading1"/>
      </w:pPr>
      <w:r>
        <w:t xml:space="preserve">6. Emerging Trends and Challenges</w:t>
      </w:r>
    </w:p>
    <w:p>
      <w:pPr>
        <w:spacing w:after="160" w:line="360"/>
      </w:pPr>
      <w:r>
        <w:t xml:space="preserve">Four trends will shape investigation practice. First, ASD (2025) reports AI-enabled scams alongside rising incident volumes; AI-assisted triage may reduce alert fatigue, but its outputs must be explainable if they are to support evidence. Second, credential and third-party compromise, seen at both Medibank and Latitude, shifts investigation towards identity and SaaS audit logs, which often have short default retention. Third, regulation is raising the stakes: ransomware payments must be reported within 72 hours under the </w:t>
      </w:r>
      <w:r>
        <w:rPr>
          <w:i/>
          <w:iCs/>
        </w:rPr>
        <w:t xml:space="preserve">Cyber Security Act 2024</w:t>
      </w:r>
      <w:r>
        <w:t xml:space="preserve"> (Cth) from 30 May 2025 (Department of Home Affairs, 2025), and a statutory tort for serious invasions of privacy commenced on 10 June 2025 under the </w:t>
      </w:r>
      <w:r>
        <w:rPr>
          <w:i/>
          <w:iCs/>
        </w:rPr>
        <w:t xml:space="preserve">Privacy and Other Legislation Amendment Act 2024</w:t>
      </w:r>
      <w:r>
        <w:t xml:space="preserve"> (Cth). Investigations must therefore be both fast and legally defensible, as recent court disputes over access to Medibank’s post-breach forensic reports illustrate (Herbert Smith Freehills Kramer, 2025). Fourth, persistent skills shortages favour managed detection and response (MDR) services.</w:t>
      </w:r>
    </w:p>
    <w:p>
      <w:pPr>
        <w:pStyle w:val="Heading1"/>
      </w:pPr>
      <w:r>
        <w:t xml:space="preserve">7. Conclusion and Recommendations</w:t>
      </w:r>
    </w:p>
    <w:p>
      <w:pPr>
        <w:spacing w:after="160" w:line="360"/>
      </w:pPr>
      <w:r>
        <w:t xml:space="preserve">The appraisal indicates that the "best fit" is not a single product but an integrated, maturity-based capability governed under the CSF 2.0 Govern function. For Australian organisations, four prioritised recommendations follow:</w:t>
      </w:r>
    </w:p>
    <w:p>
      <w:pPr>
        <w:spacing w:after="160" w:line="360"/>
        <w:ind w:left="567" w:hanging="340"/>
      </w:pPr>
      <w:r>
        <w:t xml:space="preserve">1. </w:t>
      </w:r>
      <w:r>
        <w:rPr>
          <w:b/>
          <w:bCs/>
        </w:rPr>
        <w:t xml:space="preserve">Fix fundamentals and alert ownership (0–3 months).</w:t>
      </w:r>
      <w:r>
        <w:t xml:space="preserve"> Enforce phishing-resistant MFA on all remote access, in line with the Essential Eight, and assign 24/7 alert triage with defined escalation times, in-house or through MDR. This addresses the Medibank failure pattern.</w:t>
      </w:r>
    </w:p>
    <w:p>
      <w:pPr>
        <w:spacing w:after="160" w:line="360"/>
        <w:ind w:left="567" w:hanging="340"/>
      </w:pPr>
      <w:r>
        <w:t xml:space="preserve">2. </w:t>
      </w:r>
      <w:r>
        <w:rPr>
          <w:b/>
          <w:bCs/>
        </w:rPr>
        <w:t xml:space="preserve">Integrate SIEM with EDR/XDR (3–9 months).</w:t>
      </w:r>
      <w:r>
        <w:t xml:space="preserve"> Centralise identity, API, cloud and endpoint logs to ASD’s baseline (ASD’s ACSC et al., 2024), with tuned use cases for credential misuse and bulk data access. This addresses the Optus and Latitude patterns.</w:t>
      </w:r>
    </w:p>
    <w:p>
      <w:pPr>
        <w:spacing w:after="160" w:line="360"/>
        <w:ind w:left="567" w:hanging="340"/>
      </w:pPr>
      <w:r>
        <w:t xml:space="preserve">3. </w:t>
      </w:r>
      <w:r>
        <w:rPr>
          <w:b/>
          <w:bCs/>
        </w:rPr>
        <w:t xml:space="preserve">Build forensic readiness (6–12 months).</w:t>
      </w:r>
      <w:r>
        <w:t xml:space="preserve"> Hold a DFIR retainer, set log retention to support scoping, and rehearse SP 800-61r3-aligned playbooks.</w:t>
      </w:r>
    </w:p>
    <w:p>
      <w:pPr>
        <w:spacing w:after="160" w:line="360"/>
        <w:ind w:left="567" w:hanging="340"/>
      </w:pPr>
      <w:r>
        <w:t xml:space="preserve">4. </w:t>
      </w:r>
      <w:r>
        <w:rPr>
          <w:b/>
          <w:bCs/>
        </w:rPr>
        <w:t xml:space="preserve">Add threat intelligence last (12+ months).</w:t>
      </w:r>
      <w:r>
        <w:t xml:space="preserve"> Introduce a TIP only once triage is mature, feeding it into risk assessment.</w:t>
      </w:r>
    </w:p>
    <w:p>
      <w:pPr>
        <w:spacing w:after="160" w:line="360"/>
      </w:pPr>
      <w:r>
        <w:t xml:space="preserve">Together with data minimisation, these steps align tools with risk rather than with vendor promises. Quantifying loss exposure with FAIR (Freund &amp; Jones, 2015) would further help boards prioritise this investment.</w:t>
      </w:r>
    </w:p>
    <w:p>
      <w:r>
        <w:br w:type="page"/>
      </w:r>
    </w:p>
    <w:p>
      <w:pPr>
        <w:spacing w:after="200"/>
        <w:jc w:val="center"/>
      </w:pPr>
      <w:r>
        <w:rPr>
          <w:b/>
          <w:bCs/>
        </w:rPr>
        <w:t xml:space="preserve">References</w:t>
      </w:r>
    </w:p>
    <w:p>
      <w:pPr>
        <w:spacing w:after="160" w:line="360"/>
        <w:ind w:left="720" w:hanging="720"/>
      </w:pPr>
      <w:r>
        <w:t xml:space="preserve">ACS Information Age. (2023). </w:t>
      </w:r>
      <w:r>
        <w:rPr>
          <w:i/>
          <w:iCs/>
        </w:rPr>
        <w:t xml:space="preserve">Data breach cost Latitude $76 million</w:t>
      </w:r>
      <w:r>
        <w:t xml:space="preserve">. https://ia.acs.org.au/article/2023/data-breach-cost-latitude--76-million.html</w:t>
      </w:r>
    </w:p>
    <w:p>
      <w:pPr>
        <w:spacing w:after="160" w:line="360"/>
        <w:ind w:left="720" w:hanging="720"/>
      </w:pPr>
      <w:r>
        <w:t xml:space="preserve">Alahmadi, B. A., Axon, L., &amp; Martinovic, I. (2022). 99% false positives: A qualitative study of SOC analysts’ perspectives on security alarms. In </w:t>
      </w:r>
      <w:r>
        <w:rPr>
          <w:i/>
          <w:iCs/>
        </w:rPr>
        <w:t xml:space="preserve">Proceedings of the 31st USENIX Security Symposium</w:t>
      </w:r>
      <w:r>
        <w:t xml:space="preserve">. USENIX Association. https://www.usenix.org/conference/usenixsecurity22/presentation/alahmadi</w:t>
      </w:r>
    </w:p>
    <w:p>
      <w:pPr>
        <w:spacing w:after="160" w:line="360"/>
        <w:ind w:left="720" w:hanging="720"/>
      </w:pPr>
      <w:r>
        <w:t xml:space="preserve">ASD’s Australian Cyber Security Centre, Cybersecurity and Infrastructure Security Agency, Federal Bureau of Investigation, National Security Agency, et al. (2024). </w:t>
      </w:r>
      <w:r>
        <w:rPr>
          <w:i/>
          <w:iCs/>
        </w:rPr>
        <w:t xml:space="preserve">Best practices for event logging and threat detection</w:t>
      </w:r>
      <w:r>
        <w:t xml:space="preserve">. Australian Signals Directorate. https://www.cyber.gov.au/business-government/detecting-responding-to-threats/event-logging/best-practices-for-event-logging-and-threat-detection</w:t>
      </w:r>
    </w:p>
    <w:p>
      <w:pPr>
        <w:spacing w:after="160" w:line="360"/>
        <w:ind w:left="720" w:hanging="720"/>
      </w:pPr>
      <w:r>
        <w:t xml:space="preserve">Australian Signals Directorate. (2025). </w:t>
      </w:r>
      <w:r>
        <w:rPr>
          <w:i/>
          <w:iCs/>
        </w:rPr>
        <w:t xml:space="preserve">Annual cyber threat report 2024–2025</w:t>
      </w:r>
      <w:r>
        <w:t xml:space="preserve">. https://www.cyber.gov.au/about-us/view-all-content/reports-and-statistics/annual-cyber-threat-report-2024-2025</w:t>
      </w:r>
    </w:p>
    <w:p>
      <w:pPr>
        <w:spacing w:after="160" w:line="360"/>
        <w:ind w:left="720" w:hanging="720"/>
      </w:pPr>
      <w:r>
        <w:t xml:space="preserve">Australian Signals Directorate. (2023). </w:t>
      </w:r>
      <w:r>
        <w:rPr>
          <w:i/>
          <w:iCs/>
        </w:rPr>
        <w:t xml:space="preserve">Essential Eight maturity model</w:t>
      </w:r>
      <w:r>
        <w:t xml:space="preserve">. https://www.cyber.gov.au/business-government/asds-cyber-security-frameworks/essential-eight/essential-eight-maturity-model</w:t>
      </w:r>
    </w:p>
    <w:p>
      <w:pPr>
        <w:spacing w:after="160" w:line="360"/>
        <w:ind w:left="720" w:hanging="720"/>
      </w:pPr>
      <w:r>
        <w:t xml:space="preserve">Department of Home Affairs. (2025). </w:t>
      </w:r>
      <w:r>
        <w:rPr>
          <w:i/>
          <w:iCs/>
        </w:rPr>
        <w:t xml:space="preserve">Ransomware payment reporting</w:t>
      </w:r>
      <w:r>
        <w:t xml:space="preserve"> [Fact sheet]. https://www.homeaffairs.gov.au/cyber-security-subsite/files/factsheet-ransomware-payment-reporting.pdf</w:t>
      </w:r>
    </w:p>
    <w:p>
      <w:pPr>
        <w:spacing w:after="160" w:line="360"/>
        <w:ind w:left="720" w:hanging="720"/>
      </w:pPr>
      <w:r>
        <w:t xml:space="preserve">Freund, J., &amp; Jones, J. (2015). </w:t>
      </w:r>
      <w:r>
        <w:rPr>
          <w:i/>
          <w:iCs/>
        </w:rPr>
        <w:t xml:space="preserve">Measuring and managing information risk: A FAIR approach</w:t>
      </w:r>
      <w:r>
        <w:t xml:space="preserve">. Butterworth-Heinemann.</w:t>
      </w:r>
    </w:p>
    <w:p>
      <w:pPr>
        <w:spacing w:after="160" w:line="360"/>
        <w:ind w:left="720" w:hanging="720"/>
      </w:pPr>
      <w:r>
        <w:t xml:space="preserve">González-Granadillo, G., González-Zarzosa, S., &amp; Diaz, R. (2021). Security information and event management (SIEM): Analysis, trends, and usage in critical infrastructures. </w:t>
      </w:r>
      <w:r>
        <w:rPr>
          <w:i/>
          <w:iCs/>
        </w:rPr>
        <w:t xml:space="preserve">Sensors, 21</w:t>
      </w:r>
      <w:r>
        <w:t xml:space="preserve">(14), Article 4759. https://doi.org/10.3390/s21144759</w:t>
      </w:r>
    </w:p>
    <w:p>
      <w:pPr>
        <w:spacing w:after="160" w:line="360"/>
        <w:ind w:left="720" w:hanging="720"/>
      </w:pPr>
      <w:r>
        <w:t xml:space="preserve">Herbert Smith Freehills Kramer. (2025). </w:t>
      </w:r>
      <w:r>
        <w:rPr>
          <w:i/>
          <w:iCs/>
        </w:rPr>
        <w:t xml:space="preserve">Disentangling the purpose of forensic reports in a "rapidly evolving" cyber incident: Medibank privilege decision</w:t>
      </w:r>
      <w:r>
        <w:t xml:space="preserve">. https://www.hsfkramer.com/insights/2025-04/dis-entangling-the-purpose-of-forensic-reports-in-a-rapidly-evolving-cyber-incident</w:t>
      </w:r>
    </w:p>
    <w:p>
      <w:pPr>
        <w:spacing w:after="160" w:line="360"/>
        <w:ind w:left="720" w:hanging="720"/>
      </w:pPr>
      <w:r>
        <w:t xml:space="preserve">iTnews. (2024). </w:t>
      </w:r>
      <w:r>
        <w:rPr>
          <w:i/>
          <w:iCs/>
        </w:rPr>
        <w:t xml:space="preserve">Optus breach allegedly enabled by access control coding error</w:t>
      </w:r>
      <w:r>
        <w:t xml:space="preserve">. https://www.itnews.com.au/news/optus-breach-allegedly-enabled-by-access-control-coding-error-608985</w:t>
      </w:r>
    </w:p>
    <w:p>
      <w:pPr>
        <w:spacing w:after="160" w:line="360"/>
        <w:ind w:left="720" w:hanging="720"/>
      </w:pPr>
      <w:r>
        <w:t xml:space="preserve">National Institute of Standards and Technology. (2024). </w:t>
      </w:r>
      <w:r>
        <w:rPr>
          <w:i/>
          <w:iCs/>
        </w:rPr>
        <w:t xml:space="preserve">The NIST Cybersecurity Framework (CSF) 2.0</w:t>
      </w:r>
      <w:r>
        <w:t xml:space="preserve"> (NIST CSWP 29). https://doi.org/10.6028/NIST.CSWP.29</w:t>
      </w:r>
    </w:p>
    <w:p>
      <w:pPr>
        <w:spacing w:after="160" w:line="360"/>
        <w:ind w:left="720" w:hanging="720"/>
      </w:pPr>
      <w:r>
        <w:t xml:space="preserve">Nelson, A., Rekhi, S., Souppaya, M., &amp; Scarfone, K. (2025). </w:t>
      </w:r>
      <w:r>
        <w:rPr>
          <w:i/>
          <w:iCs/>
        </w:rPr>
        <w:t xml:space="preserve">Incident response recommendations and considerations for cybersecurity risk management: A CSF 2.0 community profile</w:t>
      </w:r>
      <w:r>
        <w:t xml:space="preserve"> (NIST SP 800-61r3). National Institute of Standards and Technology. https://doi.org/10.6028/NIST.SP.800-61r3</w:t>
      </w:r>
    </w:p>
    <w:p>
      <w:pPr>
        <w:spacing w:after="160" w:line="360"/>
        <w:ind w:left="720" w:hanging="720"/>
      </w:pPr>
      <w:r>
        <w:t xml:space="preserve">Office of the Australian Information Commissioner. (2024). </w:t>
      </w:r>
      <w:r>
        <w:rPr>
          <w:i/>
          <w:iCs/>
        </w:rPr>
        <w:t xml:space="preserve">Australian Information Commissioner v Medibank Private Limited: Concise statement</w:t>
      </w:r>
      <w:r>
        <w:t xml:space="preserve">. https://www.oaic.gov.au/__data/assets/pdf_file/0025/221974/Australian-Information-Commissioner-v-Medibank-Private-Limited-concise-statement.pdf</w:t>
      </w:r>
    </w:p>
    <w:p>
      <w:pPr>
        <w:spacing w:after="160" w:line="360"/>
        <w:ind w:left="720" w:hanging="720"/>
      </w:pPr>
      <w:r>
        <w:t xml:space="preserve">Office of the Australian Information Commissioner. (2025). </w:t>
      </w:r>
      <w:r>
        <w:rPr>
          <w:i/>
          <w:iCs/>
        </w:rPr>
        <w:t xml:space="preserve">Australian Information Commissioner takes civil penalty action against Optus</w:t>
      </w:r>
      <w:r>
        <w:t xml:space="preserve"> [Media release]. https://www.oaic.gov.au/news/media-centre/australian-information-commissioner-takes-civil-penalty-action-against-optus</w:t>
      </w:r>
    </w:p>
    <w:p>
      <w:pPr>
        <w:spacing w:after="160" w:line="360"/>
        <w:ind w:left="720" w:hanging="720"/>
      </w:pPr>
      <w:r>
        <w:rPr>
          <w:i/>
          <w:iCs/>
        </w:rPr>
        <w:t xml:space="preserve">Privacy and Other Legislation Amendment Act 2024</w:t>
      </w:r>
      <w:r>
        <w:t xml:space="preserve"> (Cth).</w:t>
      </w:r>
    </w:p>
    <w:p>
      <w:pPr>
        <w:spacing w:after="160" w:line="360"/>
        <w:ind w:left="720" w:hanging="720"/>
      </w:pPr>
      <w:r>
        <w:t xml:space="preserve">SecurityWeek. (2023). </w:t>
      </w:r>
      <w:r>
        <w:rPr>
          <w:i/>
          <w:iCs/>
        </w:rPr>
        <w:t xml:space="preserve">14 million records stolen in data breach at Latitude Financial Services</w:t>
      </w:r>
      <w:r>
        <w:t xml:space="preserve">. https://www.securityweek.com/14-million-records-stolen-in-data-breach-at-latitude-financial-services/</w:t>
      </w:r>
    </w:p>
    <w:p>
      <w:r>
        <w:br w:type="page"/>
      </w:r>
    </w:p>
    <w:p>
      <w:pPr>
        <w:spacing w:after="200"/>
        <w:jc w:val="center"/>
      </w:pPr>
      <w:r>
        <w:rPr>
          <w:b/>
          <w:bCs/>
        </w:rPr>
        <w:t xml:space="preserve">Appendix: Literature Review</w:t>
      </w:r>
    </w:p>
    <w:p>
      <w:pPr>
        <w:spacing w:after="160" w:line="360"/>
      </w:pPr>
      <w:r>
        <w:t xml:space="preserve">This appendix summarises four authoritative sources that informed the report, assessing each for relevance, authority and key insights.</w:t>
      </w:r>
    </w:p>
    <w:p>
      <w:pPr>
        <w:keepNext/>
        <w:spacing w:after="80" w:before="200"/>
      </w:pPr>
      <w:r>
        <w:rPr>
          <w:b/>
          <w:bCs/>
        </w:rPr>
        <w:t xml:space="preserve">Source 1</w:t>
      </w:r>
    </w:p>
    <w:p>
      <w:pPr>
        <w:spacing w:after="160" w:line="360"/>
        <w:ind w:left="720" w:hanging="720"/>
      </w:pPr>
      <w:r>
        <w:t xml:space="preserve">National Institute of Standards and Technology. (2024). </w:t>
      </w:r>
      <w:r>
        <w:rPr>
          <w:i/>
          <w:iCs/>
        </w:rPr>
        <w:t xml:space="preserve">The NIST Cybersecurity Framework (CSF) 2.0</w:t>
      </w:r>
      <w:r>
        <w:t xml:space="preserve"> (NIST CSWP 29).</w:t>
      </w:r>
    </w:p>
    <w:p>
      <w:pPr>
        <w:spacing w:after="160" w:line="360"/>
      </w:pPr>
      <w:r>
        <w:rPr>
          <w:b/>
          <w:bCs/>
        </w:rPr>
        <w:t xml:space="preserve">Relevance:</w:t>
      </w:r>
      <w:r>
        <w:t xml:space="preserve"> CSF 2.0 provides the framework used to align tool categories with risk management outcomes. </w:t>
      </w:r>
      <w:r>
        <w:rPr>
          <w:b/>
          <w:bCs/>
        </w:rPr>
        <w:t xml:space="preserve">Authority:</w:t>
      </w:r>
      <w:r>
        <w:t xml:space="preserve"> NIST is the United States federal standards body, and the CSF is widely adopted internationally, including by Australian organisations. </w:t>
      </w:r>
      <w:r>
        <w:rPr>
          <w:b/>
          <w:bCs/>
        </w:rPr>
        <w:t xml:space="preserve">Insights:</w:t>
      </w:r>
      <w:r>
        <w:t xml:space="preserve"> Version 2.0 adds a sixth function, Govern, which places cyber risk within enterprise risk management and assigns responsibility to leadership. It organises outcomes under Govern, Identify, Protect, Detect, Respond and Recover, enabling organisations to describe current and target profiles. </w:t>
      </w:r>
      <w:r>
        <w:rPr>
          <w:b/>
          <w:bCs/>
        </w:rPr>
        <w:t xml:space="preserve">Use in this report:</w:t>
      </w:r>
      <w:r>
        <w:t xml:space="preserve"> The framework structures Figure 1 and the recommendations. In particular, the Govern function supports the argument that investigation failures in the three breaches were organisational rather than purely technical, and that tool investment should follow a governed, maturity-based roadmap.</w:t>
      </w:r>
    </w:p>
    <w:p>
      <w:pPr>
        <w:keepNext/>
        <w:spacing w:after="80" w:before="200"/>
      </w:pPr>
      <w:r>
        <w:rPr>
          <w:b/>
          <w:bCs/>
        </w:rPr>
        <w:t xml:space="preserve">Source 2</w:t>
      </w:r>
    </w:p>
    <w:p>
      <w:pPr>
        <w:spacing w:after="160" w:line="360"/>
        <w:ind w:left="720" w:hanging="720"/>
      </w:pPr>
      <w:r>
        <w:t xml:space="preserve">Nelson, A., Rekhi, S., Souppaya, M., &amp; Scarfone, K. (2025). </w:t>
      </w:r>
      <w:r>
        <w:rPr>
          <w:i/>
          <w:iCs/>
        </w:rPr>
        <w:t xml:space="preserve">Incident response recommendations and considerations for cybersecurity risk management: A CSF 2.0 community profile</w:t>
      </w:r>
      <w:r>
        <w:t xml:space="preserve"> (NIST SP 800-61r3).</w:t>
      </w:r>
    </w:p>
    <w:p>
      <w:pPr>
        <w:spacing w:after="160" w:line="360"/>
      </w:pPr>
      <w:r>
        <w:rPr>
          <w:b/>
          <w:bCs/>
        </w:rPr>
        <w:t xml:space="preserve">Relevance:</w:t>
      </w:r>
      <w:r>
        <w:t xml:space="preserve"> This is the current NIST incident response guidance, directly addressing detection, containment, eradication and recovery. </w:t>
      </w:r>
      <w:r>
        <w:rPr>
          <w:b/>
          <w:bCs/>
        </w:rPr>
        <w:t xml:space="preserve">Authority:</w:t>
      </w:r>
      <w:r>
        <w:t xml:space="preserve"> It is a 2025 NIST Special Publication replacing the 2012 Revision 2, written by NIST specialists and developed with public consultation. </w:t>
      </w:r>
      <w:r>
        <w:rPr>
          <w:b/>
          <w:bCs/>
        </w:rPr>
        <w:t xml:space="preserve">Insights:</w:t>
      </w:r>
      <w:r>
        <w:t xml:space="preserve"> Revision 3 reframes incident response as a continuous component of cybersecurity risk management, organised as a CSF 2.0 community profile rather than a stand-alone life cycle. It emphasises preparation, continuous improvement and keeping detailed playbooks current through online resources. </w:t>
      </w:r>
      <w:r>
        <w:rPr>
          <w:b/>
          <w:bCs/>
        </w:rPr>
        <w:t xml:space="preserve">Use in this report:</w:t>
      </w:r>
      <w:r>
        <w:t xml:space="preserve"> It provides the incident response lens in Section 4 and supports the recommendation to build forensic readiness and rehearse playbooks, showing that tools must be embedded in ongoing processes to be effective.</w:t>
      </w:r>
    </w:p>
    <w:p>
      <w:pPr>
        <w:keepNext/>
        <w:spacing w:after="80" w:before="200"/>
      </w:pPr>
      <w:r>
        <w:rPr>
          <w:b/>
          <w:bCs/>
        </w:rPr>
        <w:t xml:space="preserve">Source 3</w:t>
      </w:r>
    </w:p>
    <w:p>
      <w:pPr>
        <w:spacing w:after="160" w:line="360"/>
        <w:ind w:left="720" w:hanging="720"/>
      </w:pPr>
      <w:r>
        <w:t xml:space="preserve">ASD’s Australian Cyber Security Centre et al. (2024). </w:t>
      </w:r>
      <w:r>
        <w:rPr>
          <w:i/>
          <w:iCs/>
        </w:rPr>
        <w:t xml:space="preserve">Best practices for event logging and threat detection</w:t>
      </w:r>
      <w:r>
        <w:t xml:space="preserve">.</w:t>
      </w:r>
    </w:p>
    <w:p>
      <w:pPr>
        <w:spacing w:after="160" w:line="360"/>
      </w:pPr>
      <w:r>
        <w:rPr>
          <w:b/>
          <w:bCs/>
        </w:rPr>
        <w:t xml:space="preserve">Relevance:</w:t>
      </w:r>
      <w:r>
        <w:t xml:space="preserve"> This guidance directly concerns SIEM and log analytics, the central tool category in this report. </w:t>
      </w:r>
      <w:r>
        <w:rPr>
          <w:b/>
          <w:bCs/>
        </w:rPr>
        <w:t xml:space="preserve">Authority:</w:t>
      </w:r>
      <w:r>
        <w:t xml:space="preserve"> It was led by ASD’s ACSC with CISA, the FBI, the NSA and other international partners, making it authoritative and specific to the Australian context. </w:t>
      </w:r>
      <w:r>
        <w:rPr>
          <w:b/>
          <w:bCs/>
        </w:rPr>
        <w:t xml:space="preserve">Insights:</w:t>
      </w:r>
      <w:r>
        <w:t xml:space="preserve"> It identifies four key factors: an enterprise-approved event logging policy, centralised log access and correlation, secure storage and log integrity, and a detection strategy for relevant threats. It also highlights the importance of logging cloud and identity sources. </w:t>
      </w:r>
      <w:r>
        <w:rPr>
          <w:b/>
          <w:bCs/>
        </w:rPr>
        <w:t xml:space="preserve">Use in this report:</w:t>
      </w:r>
      <w:r>
        <w:t xml:space="preserve"> It supports the appraisal of SIEM coverage in Section 3 and underpins Recommendation 2, which proposes centralising identity, API, cloud and endpoint logs to a recognised Australian baseline.</w:t>
      </w:r>
    </w:p>
    <w:p>
      <w:pPr>
        <w:keepNext/>
        <w:spacing w:after="80" w:before="200"/>
      </w:pPr>
      <w:r>
        <w:rPr>
          <w:b/>
          <w:bCs/>
        </w:rPr>
        <w:t xml:space="preserve">Source 4</w:t>
      </w:r>
    </w:p>
    <w:p>
      <w:pPr>
        <w:spacing w:after="160" w:line="360"/>
        <w:ind w:left="720" w:hanging="720"/>
      </w:pPr>
      <w:r>
        <w:t xml:space="preserve">Alahmadi, B. A., Axon, L., &amp; Martinovic, I. (2022). 99% false positives: A qualitative study of SOC analysts’ perspectives on security alarms. In </w:t>
      </w:r>
      <w:r>
        <w:rPr>
          <w:i/>
          <w:iCs/>
        </w:rPr>
        <w:t xml:space="preserve">Proceedings of the 31st USENIX Security Symposium</w:t>
      </w:r>
      <w:r>
        <w:t xml:space="preserve">.</w:t>
      </w:r>
    </w:p>
    <w:p>
      <w:pPr>
        <w:spacing w:after="160" w:line="360"/>
      </w:pPr>
      <w:r>
        <w:rPr>
          <w:b/>
          <w:bCs/>
        </w:rPr>
        <w:t xml:space="preserve">Relevance:</w:t>
      </w:r>
      <w:r>
        <w:t xml:space="preserve"> This study examines how detection tools perform in practice, which is central to appraising detection accuracy. </w:t>
      </w:r>
      <w:r>
        <w:rPr>
          <w:b/>
          <w:bCs/>
        </w:rPr>
        <w:t xml:space="preserve">Authority:</w:t>
      </w:r>
      <w:r>
        <w:t xml:space="preserve"> It is a peer-reviewed paper from USENIX Security, a leading academic security conference, by University of Oxford researchers. </w:t>
      </w:r>
      <w:r>
        <w:rPr>
          <w:b/>
          <w:bCs/>
        </w:rPr>
        <w:t xml:space="preserve">Insights:</w:t>
      </w:r>
      <w:r>
        <w:t xml:space="preserve"> Based on interviews with SOC practitioners, it finds that analysts perceive most alarms as false positives, causing alert fatigue and reducing trust in security tools. It also finds that analysts value context and explainability over volume of alerts. </w:t>
      </w:r>
      <w:r>
        <w:rPr>
          <w:b/>
          <w:bCs/>
        </w:rPr>
        <w:t xml:space="preserve">Use in this report:</w:t>
      </w:r>
      <w:r>
        <w:t xml:space="preserve"> It provides empirical support for rating SIEM detection accuracy as tuning-dependent in Table 1, and helps explain the Medibank case, where alerts were allegedly generated but not triaged. It also informs the discussion of AI-assisted triage in Section 6.</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95024fedbbd6040fdad3ded9feb3e84376966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MIS5304 Assessment 3 Report</dc:title>
  <dc:creator>Student</dc:creator>
  <cp:lastModifiedBy>Un-named</cp:lastModifiedBy>
  <cp:revision>1</cp:revision>
  <dcterms:created xsi:type="dcterms:W3CDTF">2026-10-04T03:09:20.526Z</dcterms:created>
  <dcterms:modified xsi:type="dcterms:W3CDTF">2026-10-04T03:09:20.527Z</dcterms:modified>
</cp:coreProperties>
</file>

<file path=docProps/custom.xml><?xml version="1.0" encoding="utf-8"?>
<Properties xmlns="http://schemas.openxmlformats.org/officeDocument/2006/custom-properties" xmlns:vt="http://schemas.openxmlformats.org/officeDocument/2006/docPropsVTypes"/>
</file>