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b/>
          <w:bCs/>
          <w:sz w:val="30"/>
          <w:szCs w:val="30"/>
        </w:rPr>
        <w:t xml:space="preserve">Critical Appraisal of Cyber Investigation Tools in Data Breach Response</w:t>
      </w:r>
    </w:p>
    <w:p>
      <w:pPr>
        <w:spacing w:after="200"/>
        <w:jc w:val="center"/>
      </w:pPr>
      <w:r>
        <w:t xml:space="preserve">Assessment 3: Written Report</w:t>
      </w:r>
    </w:p>
    <w:p>
      <w:pPr>
        <w:spacing w:after="600"/>
      </w:pPr>
    </w:p>
    <w:p>
      <w:pPr>
        <w:spacing w:after="200"/>
        <w:jc w:val="center"/>
      </w:pPr>
      <w:r>
        <w:t xml:space="preserve">[Student Name]</w:t>
      </w:r>
    </w:p>
    <w:p>
      <w:pPr>
        <w:spacing w:after="200"/>
        <w:jc w:val="center"/>
      </w:pPr>
      <w:r>
        <w:t xml:space="preserve">[Student ID]</w:t>
      </w:r>
    </w:p>
    <w:p>
      <w:pPr>
        <w:spacing w:after="200"/>
        <w:jc w:val="center"/>
      </w:pPr>
      <w:r>
        <w:t xml:space="preserve">MIS5304 Cyber Security Risk Management</w:t>
      </w:r>
    </w:p>
    <w:p>
      <w:pPr>
        <w:spacing w:after="200"/>
        <w:jc w:val="center"/>
      </w:pPr>
      <w:r>
        <w:t xml:space="preserve">Master of Information Systems</w:t>
      </w:r>
    </w:p>
    <w:p>
      <w:pPr>
        <w:spacing w:after="200"/>
        <w:jc w:val="center"/>
      </w:pPr>
      <w:r>
        <w:t xml:space="preserve">Apex Australia Higher Education</w:t>
      </w:r>
    </w:p>
    <w:p>
      <w:pPr>
        <w:spacing w:after="200"/>
        <w:jc w:val="center"/>
      </w:pPr>
      <w:r>
        <w:t xml:space="preserve">Lecturer: [Lecturer Name]</w:t>
      </w:r>
    </w:p>
    <w:p>
      <w:pPr>
        <w:spacing w:after="200"/>
        <w:jc w:val="center"/>
      </w:pPr>
      <w:r>
        <w:t xml:space="preserve">18 October 2026</w:t>
      </w:r>
    </w:p>
    <w:p>
      <w:pPr>
        <w:spacing w:after="200"/>
        <w:jc w:val="center"/>
      </w:pPr>
      <w:r>
        <w:t xml:space="preserve">Word count: 1,253 including tables (1,033 body text), excluding references and appendix</w:t>
      </w:r>
    </w:p>
    <w:p>
      <w:r>
        <w:br w:type="page"/>
      </w:r>
    </w:p>
    <w:p>
      <w:pPr>
        <w:pStyle w:val="Heading1"/>
      </w:pPr>
      <w:r>
        <w:t xml:space="preserve">1. Introduction</w:t>
      </w:r>
    </w:p>
    <w:p>
      <w:pPr>
        <w:spacing w:after="160" w:line="360"/>
      </w:pPr>
      <w:r>
        <w:t xml:space="preserve">Between 2022 and 2023, breaches at Optus, Medibank and Latitude Financial exposed the personal information of millions of Australians and triggered regulatory proceedings, making investigative capability a board-level risk. The threat has not eased: in 2024–25, the Australian Signals Directorate (ASD) responded to more than 1,200 cyber security incidents, an 11% increase on the previous year (ASD, 2025). This report critically appraises four categories of cyber investigation tools: security information and event management (SIEM), endpoint detection and response (EDR/XDR), digital forensics and incident response (DFIR) tools, and threat intelligence platforms (TIPs). Each is evaluated against five criteria for both prevention and incident response, and aligned with the NIST Cybersecurity Framework (CSF) 2.0 (National Institute of Standards and Technology [NIST], 2024). Regulator claims are treated as allegations, and no organisation is said to have used a tool unless a source confirms it.</w:t>
      </w:r>
    </w:p>
    <w:p>
      <w:pPr>
        <w:pStyle w:val="Heading1"/>
      </w:pPr>
      <w:r>
        <w:t xml:space="preserve">2. Overview of Cyber Investigation Tools</w:t>
      </w:r>
    </w:p>
    <w:p>
      <w:pPr>
        <w:spacing w:after="160" w:line="360"/>
      </w:pPr>
      <w:r>
        <w:rPr>
          <w:b/>
          <w:bCs/>
        </w:rPr>
        <w:t xml:space="preserve">SIEM</w:t>
      </w:r>
      <w:r>
        <w:t xml:space="preserve"> platforms centralise and correlate logs across networks, identities, applications and cloud services, and underpin ASD’s logging guidance (ASD’s Australian Cyber Security Centre [ACSC] et al., 2024). </w:t>
      </w:r>
      <w:r>
        <w:rPr>
          <w:b/>
          <w:bCs/>
        </w:rPr>
        <w:t xml:space="preserve">EDR/XDR</w:t>
      </w:r>
      <w:r>
        <w:t xml:space="preserve"> collects endpoint telemetry, detects malicious behaviour and isolates hosts; XDR extends this to email, identity and cloud. </w:t>
      </w:r>
      <w:r>
        <w:rPr>
          <w:b/>
          <w:bCs/>
        </w:rPr>
        <w:t xml:space="preserve">DFIR tools</w:t>
      </w:r>
      <w:r>
        <w:t xml:space="preserve"> analyse disk, memory and cloud evidence to reconstruct timelines, establish root cause and determine which data was accessed. </w:t>
      </w:r>
      <w:r>
        <w:rPr>
          <w:b/>
          <w:bCs/>
        </w:rPr>
        <w:t xml:space="preserve">TIPs</w:t>
      </w:r>
      <w:r>
        <w:t xml:space="preserve"> contextualise indicators of compromise and adversary techniques so that defenders can prioritise the threats most relevant to their sector.</w:t>
      </w:r>
    </w:p>
    <w:p>
      <w:pPr>
        <w:pStyle w:val="Heading1"/>
      </w:pPr>
      <w:r>
        <w:t xml:space="preserve">3. Critical Appraisal: Risk Assessment and Mitigation</w:t>
      </w:r>
    </w:p>
    <w:p>
      <w:pPr>
        <w:spacing w:after="160" w:line="360"/>
      </w:pPr>
      <w:r>
        <w:t xml:space="preserve">Table 1 summarises the appraisal. SIEM offers the broadest preparatory value because building log coverage exposes blind spots, supporting the CSF Identify and Detect functions. However, its cost rises with data volume and its accuracy depends on continual tuning: security operations centre (SOC) analysts interviewed by Alahmadi et al. (2022) perceived most alarms as false positives, producing alert fatigue. González-Granadillo et al. (2021) also identify integration complexity and skills demand as key barriers.</w:t>
      </w:r>
    </w:p>
    <w:p>
      <w:pPr>
        <w:keepNext/>
        <w:spacing w:after="0" w:before="200"/>
      </w:pPr>
      <w:r>
        <w:rPr>
          <w:b/>
          <w:bCs/>
        </w:rPr>
        <w:t xml:space="preserve">Table 1</w:t>
      </w:r>
    </w:p>
    <w:p>
      <w:pPr>
        <w:keepNext/>
        <w:spacing w:after="120"/>
      </w:pPr>
      <w:r>
        <w:rPr>
          <w:i/>
          <w:iCs/>
        </w:rPr>
        <w:t xml:space="preserve">Appraisal of Cyber Investigation Tool Categories Against Evaluation Criteria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450"/>
        <w:gridCol w:w="1100"/>
        <w:gridCol w:w="1150"/>
        <w:gridCol w:w="900"/>
        <w:gridCol w:w="950"/>
        <w:gridCol w:w="1150"/>
        <w:gridCol w:w="1150"/>
        <w:gridCol w:w="1176"/>
      </w:tblGrid>
      <w:tr>
        <w:trPr>
          <w:tblHeader/>
        </w:trPr>
        <w:tc>
          <w:tcPr>
            <w:tcW w:type="dxa" w:w="1450"/>
            <w:tcBorders>
              <w:top w:val="single" w:color="000000" w:sz="6"/>
              <w:left w:val="none" w:color="FFFFFF" w:sz="0"/>
              <w:bottom w:val="single" w:color="000000" w:sz="6"/>
              <w:right w:val="none" w:color="FFFFFF" w:sz="0"/>
            </w:tcBorders>
            <w:tcMar>
              <w:top w:type="dxa" w:w="50"/>
              <w:left w:type="dxa" w:w="80"/>
              <w:bottom w:type="dxa" w:w="50"/>
              <w:right w:type="dxa" w:w="80"/>
            </w:tcMar>
          </w:tcPr>
          <w:p>
            <w:r>
              <w:rPr>
                <w:b/>
                <w:bCs/>
                <w:sz w:val="19"/>
                <w:szCs w:val="19"/>
              </w:rPr>
              <w:t xml:space="preserve">Category</w:t>
            </w:r>
          </w:p>
        </w:tc>
        <w:tc>
          <w:tcPr>
            <w:tcW w:type="dxa" w:w="1100"/>
            <w:tcBorders>
              <w:top w:val="single" w:color="000000" w:sz="6"/>
              <w:left w:val="none" w:color="FFFFFF" w:sz="0"/>
              <w:bottom w:val="single" w:color="000000" w:sz="6"/>
              <w:right w:val="none" w:color="FFFFFF" w:sz="0"/>
            </w:tcBorders>
            <w:tcMar>
              <w:top w:type="dxa" w:w="50"/>
              <w:left w:type="dxa" w:w="80"/>
              <w:bottom w:type="dxa" w:w="50"/>
              <w:right w:type="dxa" w:w="80"/>
            </w:tcMar>
          </w:tcPr>
          <w:p>
            <w:r>
              <w:rPr>
                <w:b/>
                <w:bCs/>
                <w:sz w:val="19"/>
                <w:szCs w:val="19"/>
              </w:rPr>
              <w:t xml:space="preserve">Coverage</w:t>
            </w:r>
          </w:p>
        </w:tc>
        <w:tc>
          <w:tcPr>
            <w:tcW w:type="dxa" w:w="1150"/>
            <w:tcBorders>
              <w:top w:val="single" w:color="000000" w:sz="6"/>
              <w:left w:val="none" w:color="FFFFFF" w:sz="0"/>
              <w:bottom w:val="single" w:color="000000" w:sz="6"/>
              <w:right w:val="none" w:color="FFFFFF" w:sz="0"/>
            </w:tcBorders>
            <w:tcMar>
              <w:top w:type="dxa" w:w="50"/>
              <w:left w:type="dxa" w:w="80"/>
              <w:bottom w:type="dxa" w:w="50"/>
              <w:right w:type="dxa" w:w="80"/>
            </w:tcMar>
          </w:tcPr>
          <w:p>
            <w:r>
              <w:rPr>
                <w:b/>
                <w:bCs/>
                <w:sz w:val="19"/>
                <w:szCs w:val="19"/>
              </w:rPr>
              <w:t xml:space="preserve">Detection accuracy</w:t>
            </w:r>
          </w:p>
        </w:tc>
        <w:tc>
          <w:tcPr>
            <w:tcW w:type="dxa" w:w="900"/>
            <w:tcBorders>
              <w:top w:val="single" w:color="000000" w:sz="6"/>
              <w:left w:val="none" w:color="FFFFFF" w:sz="0"/>
              <w:bottom w:val="single" w:color="000000" w:sz="6"/>
              <w:right w:val="none" w:color="FFFFFF" w:sz="0"/>
            </w:tcBorders>
            <w:tcMar>
              <w:top w:type="dxa" w:w="50"/>
              <w:left w:type="dxa" w:w="80"/>
              <w:bottom w:type="dxa" w:w="50"/>
              <w:right w:type="dxa" w:w="80"/>
            </w:tcMar>
          </w:tcPr>
          <w:p>
            <w:r>
              <w:rPr>
                <w:b/>
                <w:bCs/>
                <w:sz w:val="19"/>
                <w:szCs w:val="19"/>
              </w:rPr>
              <w:t xml:space="preserve">Cost</w:t>
            </w:r>
          </w:p>
        </w:tc>
        <w:tc>
          <w:tcPr>
            <w:tcW w:type="dxa" w:w="950"/>
            <w:tcBorders>
              <w:top w:val="single" w:color="000000" w:sz="6"/>
              <w:left w:val="none" w:color="FFFFFF" w:sz="0"/>
              <w:bottom w:val="single" w:color="000000" w:sz="6"/>
              <w:right w:val="none" w:color="FFFFFF" w:sz="0"/>
            </w:tcBorders>
            <w:tcMar>
              <w:top w:type="dxa" w:w="50"/>
              <w:left w:type="dxa" w:w="80"/>
              <w:bottom w:type="dxa" w:w="50"/>
              <w:right w:type="dxa" w:w="80"/>
            </w:tcMar>
          </w:tcPr>
          <w:p>
            <w:r>
              <w:rPr>
                <w:b/>
                <w:bCs/>
                <w:sz w:val="19"/>
                <w:szCs w:val="19"/>
              </w:rPr>
              <w:t xml:space="preserve">Skills required</w:t>
            </w:r>
          </w:p>
        </w:tc>
        <w:tc>
          <w:tcPr>
            <w:tcW w:type="dxa" w:w="1150"/>
            <w:tcBorders>
              <w:top w:val="single" w:color="000000" w:sz="6"/>
              <w:left w:val="none" w:color="FFFFFF" w:sz="0"/>
              <w:bottom w:val="single" w:color="000000" w:sz="6"/>
              <w:right w:val="none" w:color="FFFFFF" w:sz="0"/>
            </w:tcBorders>
            <w:tcMar>
              <w:top w:type="dxa" w:w="50"/>
              <w:left w:type="dxa" w:w="80"/>
              <w:bottom w:type="dxa" w:w="50"/>
              <w:right w:type="dxa" w:w="80"/>
            </w:tcMar>
          </w:tcPr>
          <w:p>
            <w:r>
              <w:rPr>
                <w:b/>
                <w:bCs/>
                <w:sz w:val="19"/>
                <w:szCs w:val="19"/>
              </w:rPr>
              <w:t xml:space="preserve">Integration</w:t>
            </w:r>
          </w:p>
        </w:tc>
        <w:tc>
          <w:tcPr>
            <w:tcW w:type="dxa" w:w="1150"/>
            <w:tcBorders>
              <w:top w:val="single" w:color="000000" w:sz="6"/>
              <w:left w:val="none" w:color="FFFFFF" w:sz="0"/>
              <w:bottom w:val="single" w:color="000000" w:sz="6"/>
              <w:right w:val="none" w:color="FFFFFF" w:sz="0"/>
            </w:tcBorders>
            <w:tcMar>
              <w:top w:type="dxa" w:w="50"/>
              <w:left w:type="dxa" w:w="80"/>
              <w:bottom w:type="dxa" w:w="50"/>
              <w:right w:type="dxa" w:w="80"/>
            </w:tcMar>
          </w:tcPr>
          <w:p>
            <w:r>
              <w:rPr>
                <w:b/>
                <w:bCs/>
                <w:sz w:val="19"/>
                <w:szCs w:val="19"/>
              </w:rPr>
              <w:t xml:space="preserve">Prevention value</w:t>
            </w:r>
          </w:p>
        </w:tc>
        <w:tc>
          <w:tcPr>
            <w:tcW w:type="dxa" w:w="1176"/>
            <w:tcBorders>
              <w:top w:val="single" w:color="000000" w:sz="6"/>
              <w:left w:val="none" w:color="FFFFFF" w:sz="0"/>
              <w:bottom w:val="single" w:color="000000" w:sz="6"/>
              <w:right w:val="none" w:color="FFFFFF" w:sz="0"/>
            </w:tcBorders>
            <w:tcMar>
              <w:top w:type="dxa" w:w="50"/>
              <w:left w:type="dxa" w:w="80"/>
              <w:bottom w:type="dxa" w:w="50"/>
              <w:right w:type="dxa" w:w="80"/>
            </w:tcMar>
          </w:tcPr>
          <w:p>
            <w:r>
              <w:rPr>
                <w:b/>
                <w:bCs/>
                <w:sz w:val="19"/>
                <w:szCs w:val="19"/>
              </w:rPr>
              <w:t xml:space="preserve">Response value</w:t>
            </w:r>
          </w:p>
        </w:tc>
      </w:tr>
      <w:tr>
        <w:trPr>
          <w:cantSplit/>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SIEM / log analytics</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High (enterprise-wide)</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Medium (tuning-dependent)</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High</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High</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High (hub)</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High</w:t>
            </w:r>
          </w:p>
        </w:tc>
        <w:tc>
          <w:tcPr>
            <w:tcW w:type="dxa" w:w="1176"/>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High</w:t>
            </w:r>
          </w:p>
        </w:tc>
      </w:tr>
      <w:tr>
        <w:trPr>
          <w:cantSplit/>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EDR / XDR</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Medium (managed endpoints)</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High</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Medium</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Medium</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Medium</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High</w:t>
            </w:r>
          </w:p>
        </w:tc>
        <w:tc>
          <w:tcPr>
            <w:tcW w:type="dxa" w:w="1176"/>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High</w:t>
            </w:r>
          </w:p>
        </w:tc>
      </w:tr>
      <w:tr>
        <w:trPr>
          <w:cantSplit/>
        </w:trPr>
        <w:tc>
          <w:tcPr>
            <w:tcW w:type="dxa" w:w="145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DFIR tools</w:t>
            </w:r>
          </w:p>
        </w:tc>
        <w:tc>
          <w:tcPr>
            <w:tcW w:type="dxa" w:w="11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Targeted</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High (post-event)</w:t>
            </w:r>
          </w:p>
        </w:tc>
        <w:tc>
          <w:tcPr>
            <w:tcW w:type="dxa" w:w="9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Medium (often retainer)</w:t>
            </w:r>
          </w:p>
        </w:tc>
        <w:tc>
          <w:tcPr>
            <w:tcW w:type="dxa" w:w="95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Very high</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Low</w:t>
            </w:r>
          </w:p>
        </w:tc>
        <w:tc>
          <w:tcPr>
            <w:tcW w:type="dxa" w:w="115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Low–Medium</w:t>
            </w:r>
          </w:p>
        </w:tc>
        <w:tc>
          <w:tcPr>
            <w:tcW w:type="dxa" w:w="1176"/>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High</w:t>
            </w:r>
          </w:p>
        </w:tc>
      </w:tr>
      <w:tr>
        <w:trPr>
          <w:cantSplit/>
        </w:trPr>
        <w:tc>
          <w:tcPr>
            <w:tcW w:type="dxa" w:w="1450"/>
            <w:tcBorders>
              <w:top w:val="none" w:color="FFFFFF" w:sz="0"/>
              <w:left w:val="none" w:color="FFFFFF" w:sz="0"/>
              <w:bottom w:val="single" w:color="000000" w:sz="6"/>
              <w:right w:val="none" w:color="FFFFFF" w:sz="0"/>
            </w:tcBorders>
            <w:tcMar>
              <w:top w:type="dxa" w:w="50"/>
              <w:left w:type="dxa" w:w="80"/>
              <w:bottom w:type="dxa" w:w="50"/>
              <w:right w:type="dxa" w:w="80"/>
            </w:tcMar>
          </w:tcPr>
          <w:p>
            <w:r>
              <w:rPr>
                <w:b w:val="false"/>
                <w:bCs w:val="false"/>
                <w:sz w:val="19"/>
                <w:szCs w:val="19"/>
              </w:rPr>
              <w:t xml:space="preserve">Threat intelligence platforms</w:t>
            </w:r>
          </w:p>
        </w:tc>
        <w:tc>
          <w:tcPr>
            <w:tcW w:type="dxa" w:w="1100"/>
            <w:tcBorders>
              <w:top w:val="none" w:color="FFFFFF" w:sz="0"/>
              <w:left w:val="none" w:color="FFFFFF" w:sz="0"/>
              <w:bottom w:val="single" w:color="000000" w:sz="6"/>
              <w:right w:val="none" w:color="FFFFFF" w:sz="0"/>
            </w:tcBorders>
            <w:tcMar>
              <w:top w:type="dxa" w:w="50"/>
              <w:left w:type="dxa" w:w="80"/>
              <w:bottom w:type="dxa" w:w="50"/>
              <w:right w:type="dxa" w:w="80"/>
            </w:tcMar>
          </w:tcPr>
          <w:p>
            <w:r>
              <w:rPr>
                <w:b w:val="false"/>
                <w:bCs w:val="false"/>
                <w:sz w:val="19"/>
                <w:szCs w:val="19"/>
              </w:rPr>
              <w:t xml:space="preserve">External threats</w:t>
            </w:r>
          </w:p>
        </w:tc>
        <w:tc>
          <w:tcPr>
            <w:tcW w:type="dxa" w:w="1150"/>
            <w:tcBorders>
              <w:top w:val="none" w:color="FFFFFF" w:sz="0"/>
              <w:left w:val="none" w:color="FFFFFF" w:sz="0"/>
              <w:bottom w:val="single" w:color="000000" w:sz="6"/>
              <w:right w:val="none" w:color="FFFFFF" w:sz="0"/>
            </w:tcBorders>
            <w:tcMar>
              <w:top w:type="dxa" w:w="50"/>
              <w:left w:type="dxa" w:w="80"/>
              <w:bottom w:type="dxa" w:w="50"/>
              <w:right w:type="dxa" w:w="80"/>
            </w:tcMar>
          </w:tcPr>
          <w:p>
            <w:r>
              <w:rPr>
                <w:b w:val="false"/>
                <w:bCs w:val="false"/>
                <w:sz w:val="19"/>
                <w:szCs w:val="19"/>
              </w:rPr>
              <w:t xml:space="preserve">Variable</w:t>
            </w:r>
          </w:p>
        </w:tc>
        <w:tc>
          <w:tcPr>
            <w:tcW w:type="dxa" w:w="900"/>
            <w:tcBorders>
              <w:top w:val="none" w:color="FFFFFF" w:sz="0"/>
              <w:left w:val="none" w:color="FFFFFF" w:sz="0"/>
              <w:bottom w:val="single" w:color="000000" w:sz="6"/>
              <w:right w:val="none" w:color="FFFFFF" w:sz="0"/>
            </w:tcBorders>
            <w:tcMar>
              <w:top w:type="dxa" w:w="50"/>
              <w:left w:type="dxa" w:w="80"/>
              <w:bottom w:type="dxa" w:w="50"/>
              <w:right w:type="dxa" w:w="80"/>
            </w:tcMar>
          </w:tcPr>
          <w:p>
            <w:r>
              <w:rPr>
                <w:b w:val="false"/>
                <w:bCs w:val="false"/>
                <w:sz w:val="19"/>
                <w:szCs w:val="19"/>
              </w:rPr>
              <w:t xml:space="preserve">Medium</w:t>
            </w:r>
          </w:p>
        </w:tc>
        <w:tc>
          <w:tcPr>
            <w:tcW w:type="dxa" w:w="950"/>
            <w:tcBorders>
              <w:top w:val="none" w:color="FFFFFF" w:sz="0"/>
              <w:left w:val="none" w:color="FFFFFF" w:sz="0"/>
              <w:bottom w:val="single" w:color="000000" w:sz="6"/>
              <w:right w:val="none" w:color="FFFFFF" w:sz="0"/>
            </w:tcBorders>
            <w:tcMar>
              <w:top w:type="dxa" w:w="50"/>
              <w:left w:type="dxa" w:w="80"/>
              <w:bottom w:type="dxa" w:w="50"/>
              <w:right w:type="dxa" w:w="80"/>
            </w:tcMar>
          </w:tcPr>
          <w:p>
            <w:r>
              <w:rPr>
                <w:b w:val="false"/>
                <w:bCs w:val="false"/>
                <w:sz w:val="19"/>
                <w:szCs w:val="19"/>
              </w:rPr>
              <w:t xml:space="preserve">High</w:t>
            </w:r>
          </w:p>
        </w:tc>
        <w:tc>
          <w:tcPr>
            <w:tcW w:type="dxa" w:w="1150"/>
            <w:tcBorders>
              <w:top w:val="none" w:color="FFFFFF" w:sz="0"/>
              <w:left w:val="none" w:color="FFFFFF" w:sz="0"/>
              <w:bottom w:val="single" w:color="000000" w:sz="6"/>
              <w:right w:val="none" w:color="FFFFFF" w:sz="0"/>
            </w:tcBorders>
            <w:tcMar>
              <w:top w:type="dxa" w:w="50"/>
              <w:left w:type="dxa" w:w="80"/>
              <w:bottom w:type="dxa" w:w="50"/>
              <w:right w:type="dxa" w:w="80"/>
            </w:tcMar>
          </w:tcPr>
          <w:p>
            <w:r>
              <w:rPr>
                <w:b w:val="false"/>
                <w:bCs w:val="false"/>
                <w:sz w:val="19"/>
                <w:szCs w:val="19"/>
              </w:rPr>
              <w:t xml:space="preserve">Medium</w:t>
            </w:r>
          </w:p>
        </w:tc>
        <w:tc>
          <w:tcPr>
            <w:tcW w:type="dxa" w:w="1150"/>
            <w:tcBorders>
              <w:top w:val="none" w:color="FFFFFF" w:sz="0"/>
              <w:left w:val="none" w:color="FFFFFF" w:sz="0"/>
              <w:bottom w:val="single" w:color="000000" w:sz="6"/>
              <w:right w:val="none" w:color="FFFFFF" w:sz="0"/>
            </w:tcBorders>
            <w:tcMar>
              <w:top w:type="dxa" w:w="50"/>
              <w:left w:type="dxa" w:w="80"/>
              <w:bottom w:type="dxa" w:w="50"/>
              <w:right w:type="dxa" w:w="80"/>
            </w:tcMar>
          </w:tcPr>
          <w:p>
            <w:r>
              <w:rPr>
                <w:b w:val="false"/>
                <w:bCs w:val="false"/>
                <w:sz w:val="19"/>
                <w:szCs w:val="19"/>
              </w:rPr>
              <w:t xml:space="preserve">Medium</w:t>
            </w:r>
          </w:p>
        </w:tc>
        <w:tc>
          <w:tcPr>
            <w:tcW w:type="dxa" w:w="1176"/>
            <w:tcBorders>
              <w:top w:val="none" w:color="FFFFFF" w:sz="0"/>
              <w:left w:val="none" w:color="FFFFFF" w:sz="0"/>
              <w:bottom w:val="single" w:color="000000" w:sz="6"/>
              <w:right w:val="none" w:color="FFFFFF" w:sz="0"/>
            </w:tcBorders>
            <w:tcMar>
              <w:top w:type="dxa" w:w="50"/>
              <w:left w:type="dxa" w:w="80"/>
              <w:bottom w:type="dxa" w:w="50"/>
              <w:right w:type="dxa" w:w="80"/>
            </w:tcMar>
          </w:tcPr>
          <w:p>
            <w:r>
              <w:rPr>
                <w:b w:val="false"/>
                <w:bCs w:val="false"/>
                <w:sz w:val="19"/>
                <w:szCs w:val="19"/>
              </w:rPr>
              <w:t xml:space="preserve">Low–Medium</w:t>
            </w:r>
          </w:p>
        </w:tc>
      </w:tr>
    </w:tbl>
    <w:p>
      <w:pPr>
        <w:spacing w:after="240" w:before="80" w:line="276"/>
      </w:pPr>
      <w:r>
        <w:rPr>
          <w:i/>
          <w:iCs/>
          <w:sz w:val="20"/>
          <w:szCs w:val="20"/>
        </w:rPr>
        <w:t xml:space="preserve">Note. </w:t>
      </w:r>
      <w:r>
        <w:rPr>
          <w:sz w:val="20"/>
          <w:szCs w:val="20"/>
        </w:rPr>
        <w:t xml:space="preserve">Ratings are the author’s assessment, informed by Alahmadi et al. (2022), ASD’s ACSC et al. (2024) and González-Granadillo et al. (2021).</w:t>
      </w:r>
    </w:p>
    <w:p>
      <w:pPr>
        <w:spacing w:after="160" w:line="360"/>
      </w:pPr>
      <w:r>
        <w:t xml:space="preserve">EDR provides high-fidelity endpoint signals and blocks known techniques, supporting the Protect function, but it cannot see unmanaged contractor devices, application programming interfaces (APIs) or software-as-a-service (SaaS) platforms. DFIR tools are mainly reactive, yet they support preparation through forensic readiness: defined log retention, evidence-handling procedures and rehearsed playbooks. Their main constraint is scarce specialist skills, which are often obtained through external retainers. TIPs can make risk assessment more relevant, but without mature analysts to act on them they add noise rather than insight, making them the least suitable first investment.</w:t>
      </w:r>
    </w:p>
    <w:p>
      <w:pPr>
        <w:spacing w:after="160" w:line="360"/>
      </w:pPr>
      <w:r>
        <w:t xml:space="preserve">Figure 1 maps each category to the six CSF 2.0 functions. No tool spans the framework or addresses Govern, so tools complement, rather than replace, baseline controls such as ASD’s Essential Eight, including multi-factor authentication (MFA; ASD, 2023).</w:t>
      </w:r>
    </w:p>
    <w:p>
      <w:pPr>
        <w:keepNext/>
        <w:spacing w:after="0" w:before="200"/>
      </w:pPr>
      <w:r>
        <w:rPr>
          <w:b/>
          <w:bCs/>
        </w:rPr>
        <w:t xml:space="preserve">Figure 1</w:t>
      </w:r>
    </w:p>
    <w:p>
      <w:pPr>
        <w:keepNext/>
        <w:spacing w:after="120"/>
      </w:pPr>
      <w:r>
        <w:rPr>
          <w:i/>
          <w:iCs/>
        </w:rPr>
        <w:t xml:space="preserve">Mapping of Tool Categories to NIST CSF 2.0 Functions</w:t>
      </w:r>
    </w:p>
    <w:p>
      <w:pPr>
        <w:keepNext/>
        <w:jc w:val="center"/>
      </w:pPr>
      <w:r>
        <w:drawing>
          <wp:inline distT="0" distB="0" distL="0" distR="0">
            <wp:extent cx="5715000" cy="1933575"/>
            <wp:effectExtent t="0" r="0" b="0" l="0"/>
            <wp:docPr id="1" name="fig1" descr="Tool categories mapped to NIST CSF 2.0 function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933575"/>
                    </a:xfrm>
                    <a:prstGeom prst="rect">
                      <a:avLst/>
                    </a:prstGeom>
                  </pic:spPr>
                </pic:pic>
              </a:graphicData>
            </a:graphic>
          </wp:inline>
        </w:drawing>
      </w:r>
    </w:p>
    <w:p>
      <w:pPr>
        <w:spacing w:after="240" w:before="80" w:line="276"/>
      </w:pPr>
      <w:r>
        <w:rPr>
          <w:i/>
          <w:iCs/>
          <w:sz w:val="20"/>
          <w:szCs w:val="20"/>
        </w:rPr>
        <w:t xml:space="preserve">Note. </w:t>
      </w:r>
      <w:r>
        <w:rPr>
          <w:sz w:val="20"/>
          <w:szCs w:val="20"/>
        </w:rPr>
        <w:t xml:space="preserve">Author’s mapping based on NIST (2024) and Nelson et al. (2025). Dark = primary contribution; light = supporting contribution; blank = little or no contribution.</w:t>
      </w:r>
    </w:p>
    <w:p>
      <w:pPr>
        <w:pStyle w:val="Heading1"/>
      </w:pPr>
      <w:r>
        <w:t xml:space="preserve">4. Critical Appraisal: Incident Response</w:t>
      </w:r>
    </w:p>
    <w:p>
      <w:pPr>
        <w:spacing w:after="160" w:line="360"/>
      </w:pPr>
      <w:r>
        <w:t xml:space="preserve">NIST SP 800-61 Revision 3 treats incident response as a continuous part of risk management rather than a one-off activity (Nelson et al., 2025). For </w:t>
      </w:r>
      <w:r>
        <w:rPr>
          <w:b/>
          <w:bCs/>
        </w:rPr>
        <w:t xml:space="preserve">detection</w:t>
      </w:r>
      <w:r>
        <w:t xml:space="preserve">, SIEM correlation across identity, network and endpoint data is strongest, while EDR gives the earliest endpoint signal. Yet detection depends on process as much as technology: the Office of the Australian Information Commissioner (OAIC) alleges that Medibank’s EDR software generated alerts on 24–25 August 2022 that were not appropriately triaged or escalated (OAIC, 2024). For </w:t>
      </w:r>
      <w:r>
        <w:rPr>
          <w:b/>
          <w:bCs/>
        </w:rPr>
        <w:t xml:space="preserve">containment</w:t>
      </w:r>
      <w:r>
        <w:t xml:space="preserve">, EDR host isolation and credential revocation are the fastest levers, provided pre-approved playbooks give staff authority to act. For </w:t>
      </w:r>
      <w:r>
        <w:rPr>
          <w:b/>
          <w:bCs/>
        </w:rPr>
        <w:t xml:space="preserve">eradication</w:t>
      </w:r>
      <w:r>
        <w:t xml:space="preserve">, DFIR analysis finds persistence mechanisms and confirms root cause. For </w:t>
      </w:r>
      <w:r>
        <w:rPr>
          <w:b/>
          <w:bCs/>
        </w:rPr>
        <w:t xml:space="preserve">recovery</w:t>
      </w:r>
      <w:r>
        <w:t xml:space="preserve">, forensic scoping determines who must be notified: Latitude’s reported figure rose from about 328,000 to around 14 million records as the investigation progressed (SecurityWeek, 2023), which, in my analysis, shows how retained legacy data complicates scoping.</w:t>
      </w:r>
    </w:p>
    <w:p>
      <w:pPr>
        <w:pStyle w:val="Heading1"/>
      </w:pPr>
      <w:r>
        <w:t xml:space="preserve">5. Discussion: Lessons from Recent Breaches</w:t>
      </w:r>
    </w:p>
    <w:p>
      <w:pPr>
        <w:spacing w:after="160" w:line="360"/>
      </w:pPr>
      <w:r>
        <w:t xml:space="preserve">Table 2 separates documented facts from this report’s analysis. In none of the three cases does the public record show that a missing tool was the primary cause.</w:t>
      </w:r>
    </w:p>
    <w:p>
      <w:pPr>
        <w:keepNext/>
        <w:spacing w:after="0" w:before="200"/>
      </w:pPr>
      <w:r>
        <w:rPr>
          <w:b/>
          <w:bCs/>
        </w:rPr>
        <w:t xml:space="preserve">Table 2</w:t>
      </w:r>
    </w:p>
    <w:p>
      <w:pPr>
        <w:keepNext/>
        <w:spacing w:after="120"/>
      </w:pPr>
      <w:r>
        <w:rPr>
          <w:i/>
          <w:iCs/>
        </w:rPr>
        <w:t xml:space="preserve">Documented Facts Versus Analysis of Tool Capabilities in Three Australian Breaches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1500"/>
        <w:gridCol w:w="4300"/>
        <w:gridCol w:w="3226"/>
      </w:tblGrid>
      <w:tr>
        <w:trPr>
          <w:tblHeader/>
        </w:trPr>
        <w:tc>
          <w:tcPr>
            <w:tcW w:type="dxa" w:w="1500"/>
            <w:tcBorders>
              <w:top w:val="single" w:color="000000" w:sz="6"/>
              <w:left w:val="none" w:color="FFFFFF" w:sz="0"/>
              <w:bottom w:val="single" w:color="000000" w:sz="6"/>
              <w:right w:val="none" w:color="FFFFFF" w:sz="0"/>
            </w:tcBorders>
            <w:tcMar>
              <w:top w:type="dxa" w:w="50"/>
              <w:left w:type="dxa" w:w="80"/>
              <w:bottom w:type="dxa" w:w="50"/>
              <w:right w:type="dxa" w:w="80"/>
            </w:tcMar>
          </w:tcPr>
          <w:p>
            <w:r>
              <w:rPr>
                <w:b/>
                <w:bCs/>
                <w:sz w:val="19"/>
                <w:szCs w:val="19"/>
              </w:rPr>
              <w:t xml:space="preserve">Breach</w:t>
            </w:r>
          </w:p>
        </w:tc>
        <w:tc>
          <w:tcPr>
            <w:tcW w:type="dxa" w:w="4300"/>
            <w:tcBorders>
              <w:top w:val="single" w:color="000000" w:sz="6"/>
              <w:left w:val="none" w:color="FFFFFF" w:sz="0"/>
              <w:bottom w:val="single" w:color="000000" w:sz="6"/>
              <w:right w:val="none" w:color="FFFFFF" w:sz="0"/>
            </w:tcBorders>
            <w:tcMar>
              <w:top w:type="dxa" w:w="50"/>
              <w:left w:type="dxa" w:w="80"/>
              <w:bottom w:type="dxa" w:w="50"/>
              <w:right w:type="dxa" w:w="80"/>
            </w:tcMar>
          </w:tcPr>
          <w:p>
            <w:r>
              <w:rPr>
                <w:b/>
                <w:bCs/>
                <w:sz w:val="19"/>
                <w:szCs w:val="19"/>
              </w:rPr>
              <w:t xml:space="preserve">Publicly documented (source)</w:t>
            </w:r>
          </w:p>
        </w:tc>
        <w:tc>
          <w:tcPr>
            <w:tcW w:type="dxa" w:w="3226"/>
            <w:tcBorders>
              <w:top w:val="single" w:color="000000" w:sz="6"/>
              <w:left w:val="none" w:color="FFFFFF" w:sz="0"/>
              <w:bottom w:val="single" w:color="000000" w:sz="6"/>
              <w:right w:val="none" w:color="FFFFFF" w:sz="0"/>
            </w:tcBorders>
            <w:tcMar>
              <w:top w:type="dxa" w:w="50"/>
              <w:left w:type="dxa" w:w="80"/>
              <w:bottom w:type="dxa" w:w="50"/>
              <w:right w:type="dxa" w:w="80"/>
            </w:tcMar>
          </w:tcPr>
          <w:p>
            <w:r>
              <w:rPr>
                <w:b/>
                <w:bCs/>
                <w:sz w:val="19"/>
                <w:szCs w:val="19"/>
              </w:rPr>
              <w:t xml:space="preserve">Analysis: capabilities that could have helped</w:t>
            </w:r>
          </w:p>
        </w:tc>
      </w:tr>
      <w:tr>
        <w:trPr>
          <w:cantSplit/>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Optus (2022)</w:t>
            </w:r>
          </w:p>
        </w:tc>
        <w:tc>
          <w:tcPr>
            <w:tcW w:type="dxa" w:w="43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Alleged access-control coding error on a dormant, internet-facing API; about 9.5 million affected (iTnews, 2024; OAIC, 2025)</w:t>
            </w:r>
          </w:p>
        </w:tc>
        <w:tc>
          <w:tcPr>
            <w:tcW w:type="dxa" w:w="3226"/>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Attack surface inventory, API testing, SIEM monitoring of API volumes</w:t>
            </w:r>
          </w:p>
        </w:tc>
      </w:tr>
      <w:tr>
        <w:trPr>
          <w:cantSplit/>
        </w:trPr>
        <w:tc>
          <w:tcPr>
            <w:tcW w:type="dxa" w:w="15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Medibank (2022)</w:t>
            </w:r>
          </w:p>
        </w:tc>
        <w:tc>
          <w:tcPr>
            <w:tcW w:type="dxa" w:w="4300"/>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Stolen contractor credentials; VPN without MFA; EDR alerts not triaged; about 520 GB extracted (OAIC, 2024)</w:t>
            </w:r>
          </w:p>
        </w:tc>
        <w:tc>
          <w:tcPr>
            <w:tcW w:type="dxa" w:w="3226"/>
            <w:tcBorders>
              <w:top w:val="none" w:color="FFFFFF" w:sz="0"/>
              <w:left w:val="none" w:color="FFFFFF" w:sz="0"/>
              <w:bottom w:val="none" w:color="FFFFFF" w:sz="0"/>
              <w:right w:val="none" w:color="FFFFFF" w:sz="0"/>
            </w:tcBorders>
            <w:tcMar>
              <w:top w:type="dxa" w:w="50"/>
              <w:left w:type="dxa" w:w="80"/>
              <w:bottom w:type="dxa" w:w="50"/>
              <w:right w:type="dxa" w:w="80"/>
            </w:tcMar>
          </w:tcPr>
          <w:p>
            <w:r>
              <w:rPr>
                <w:b w:val="false"/>
                <w:bCs w:val="false"/>
                <w:sz w:val="19"/>
                <w:szCs w:val="19"/>
              </w:rPr>
              <w:t xml:space="preserve">Enforced MFA, 24/7 triage or MDR, SIEM–EDR correlation</w:t>
            </w:r>
          </w:p>
        </w:tc>
      </w:tr>
      <w:tr>
        <w:trPr>
          <w:cantSplit/>
        </w:trPr>
        <w:tc>
          <w:tcPr>
            <w:tcW w:type="dxa" w:w="1500"/>
            <w:tcBorders>
              <w:top w:val="none" w:color="FFFFFF" w:sz="0"/>
              <w:left w:val="none" w:color="FFFFFF" w:sz="0"/>
              <w:bottom w:val="single" w:color="000000" w:sz="6"/>
              <w:right w:val="none" w:color="FFFFFF" w:sz="0"/>
            </w:tcBorders>
            <w:tcMar>
              <w:top w:type="dxa" w:w="50"/>
              <w:left w:type="dxa" w:w="80"/>
              <w:bottom w:type="dxa" w:w="50"/>
              <w:right w:type="dxa" w:w="80"/>
            </w:tcMar>
          </w:tcPr>
          <w:p>
            <w:r>
              <w:rPr>
                <w:b w:val="false"/>
                <w:bCs w:val="false"/>
                <w:sz w:val="19"/>
                <w:szCs w:val="19"/>
              </w:rPr>
              <w:t xml:space="preserve">Latitude (2023)</w:t>
            </w:r>
          </w:p>
        </w:tc>
        <w:tc>
          <w:tcPr>
            <w:tcW w:type="dxa" w:w="4300"/>
            <w:tcBorders>
              <w:top w:val="none" w:color="FFFFFF" w:sz="0"/>
              <w:left w:val="none" w:color="FFFFFF" w:sz="0"/>
              <w:bottom w:val="single" w:color="000000" w:sz="6"/>
              <w:right w:val="none" w:color="FFFFFF" w:sz="0"/>
            </w:tcBorders>
            <w:tcMar>
              <w:top w:type="dxa" w:w="50"/>
              <w:left w:type="dxa" w:w="80"/>
              <w:bottom w:type="dxa" w:w="50"/>
              <w:right w:type="dxa" w:w="80"/>
            </w:tcMar>
          </w:tcPr>
          <w:p>
            <w:r>
              <w:rPr>
                <w:b w:val="false"/>
                <w:bCs w:val="false"/>
                <w:sz w:val="19"/>
                <w:szCs w:val="19"/>
              </w:rPr>
              <w:t xml:space="preserve">Vendor-linked credentials; about 14 million records; investigation ongoing (ACS Information Age, 2023; SecurityWeek, 2023)</w:t>
            </w:r>
          </w:p>
        </w:tc>
        <w:tc>
          <w:tcPr>
            <w:tcW w:type="dxa" w:w="3226"/>
            <w:tcBorders>
              <w:top w:val="none" w:color="FFFFFF" w:sz="0"/>
              <w:left w:val="none" w:color="FFFFFF" w:sz="0"/>
              <w:bottom w:val="single" w:color="000000" w:sz="6"/>
              <w:right w:val="none" w:color="FFFFFF" w:sz="0"/>
            </w:tcBorders>
            <w:tcMar>
              <w:top w:type="dxa" w:w="50"/>
              <w:left w:type="dxa" w:w="80"/>
              <w:bottom w:type="dxa" w:w="50"/>
              <w:right w:type="dxa" w:w="80"/>
            </w:tcMar>
          </w:tcPr>
          <w:p>
            <w:r>
              <w:rPr>
                <w:b w:val="false"/>
                <w:bCs w:val="false"/>
                <w:sz w:val="19"/>
                <w:szCs w:val="19"/>
              </w:rPr>
              <w:t xml:space="preserve">Identity analytics on third-party accounts, data minimisation</w:t>
            </w:r>
          </w:p>
        </w:tc>
      </w:tr>
    </w:tbl>
    <w:p>
      <w:pPr>
        <w:spacing w:after="240" w:before="80" w:line="276"/>
      </w:pPr>
      <w:r>
        <w:rPr>
          <w:i/>
          <w:iCs/>
          <w:sz w:val="20"/>
          <w:szCs w:val="20"/>
        </w:rPr>
        <w:t xml:space="preserve">Note. </w:t>
      </w:r>
      <w:r>
        <w:rPr>
          <w:sz w:val="20"/>
          <w:szCs w:val="20"/>
        </w:rPr>
        <w:t xml:space="preserve">Facts are as alleged or reported in the cited sources; the right-hand column is the author’s analysis.</w:t>
      </w:r>
    </w:p>
    <w:p>
      <w:pPr>
        <w:spacing w:after="160" w:line="360"/>
      </w:pPr>
      <w:r>
        <w:t xml:space="preserve">At </w:t>
      </w:r>
      <w:r>
        <w:rPr>
          <w:b/>
          <w:bCs/>
        </w:rPr>
        <w:t xml:space="preserve">Optus</w:t>
      </w:r>
      <w:r>
        <w:t xml:space="preserve">, the Australian Communications and Media Authority (ACMA) alleges that a 2018 coding error left access controls on a dormant, internet-facing API ineffective, and that it was fixed on the main domain but not the subdomain (iTnews, 2024); around 9.5 million Australians were allegedly affected (OAIC, 2025). In my analysis, this was an Identify and Protect failure: an inventory of internet-facing assets and API testing would probably have found the endpoint, and SIEM monitoring of request volumes could have flagged bulk harvesting. At </w:t>
      </w:r>
      <w:r>
        <w:rPr>
          <w:b/>
          <w:bCs/>
        </w:rPr>
        <w:t xml:space="preserve">Medibank</w:t>
      </w:r>
      <w:r>
        <w:t xml:space="preserve">, stolen contractor credentials, VPN access without MFA and untriaged alerts preceded the extraction of about 520 GB of data (OAIC, 2024); enforced MFA and assured 24/7 triage would, in my view, have broken this chain much earlier. At </w:t>
      </w:r>
      <w:r>
        <w:rPr>
          <w:b/>
          <w:bCs/>
        </w:rPr>
        <w:t xml:space="preserve">Latitude</w:t>
      </w:r>
      <w:r>
        <w:t xml:space="preserve">, attackers used credentials obtained through a major vendor, at a cost of about $76 million (ACS Information Age, 2023). Public detail is limited and the OAIC investigation continues, so conclusions are tentative, but third-party identity analytics and data minimisation appear the most relevant capabilities.</w:t>
      </w:r>
    </w:p>
    <w:p>
      <w:pPr>
        <w:pStyle w:val="Heading1"/>
      </w:pPr>
      <w:r>
        <w:t xml:space="preserve">6. Emerging Trends and Challenges</w:t>
      </w:r>
    </w:p>
    <w:p>
      <w:pPr>
        <w:spacing w:after="160" w:line="360"/>
      </w:pPr>
      <w:r>
        <w:t xml:space="preserve">Four trends will shape investigation practice. First, ASD (2025) reports AI-enabled scams; AI-assisted triage may ease alert fatigue, but its outputs must be explainable to serve as evidence. Second, credential and third-party compromise, seen at Medibank and Latitude, shifts investigation towards identity and SaaS audit logs, which often have short retention. Third, regulation raises the stakes: ransomware payments must be reported within 72 hours under the </w:t>
      </w:r>
      <w:r>
        <w:rPr>
          <w:i/>
          <w:iCs/>
        </w:rPr>
        <w:t xml:space="preserve">Cyber Security Act 2024</w:t>
      </w:r>
      <w:r>
        <w:t xml:space="preserve"> (Cth) (Department of Home Affairs, 2025), and a statutory privacy tort commenced in June 2025 under the </w:t>
      </w:r>
      <w:r>
        <w:rPr>
          <w:i/>
          <w:iCs/>
        </w:rPr>
        <w:t xml:space="preserve">Privacy and Other Legislation Amendment Act 2024</w:t>
      </w:r>
      <w:r>
        <w:t xml:space="preserve"> (Cth). Investigations must therefore be legally defensible, as disputes over Medibank’s forensic reports show (Herbert Smith Freehills Kramer, 2025). Fourth, skills shortages favour managed detection and response (MDR) services.</w:t>
      </w:r>
    </w:p>
    <w:p>
      <w:pPr>
        <w:pStyle w:val="Heading1"/>
      </w:pPr>
      <w:r>
        <w:t xml:space="preserve">7. Conclusion and Recommendations</w:t>
      </w:r>
    </w:p>
    <w:p>
      <w:pPr>
        <w:spacing w:after="160" w:line="360"/>
      </w:pPr>
      <w:r>
        <w:t xml:space="preserve">The “best fit” is not a single product but an integrated, maturity-based capability governed under the CSF 2.0 Govern function. Four prioritised recommendations follow for Australian organisations:</w:t>
      </w:r>
    </w:p>
    <w:p>
      <w:pPr>
        <w:spacing w:after="160" w:line="360"/>
        <w:ind w:left="567" w:hanging="340"/>
      </w:pPr>
      <w:r>
        <w:t xml:space="preserve">1. </w:t>
      </w:r>
      <w:r>
        <w:rPr>
          <w:b/>
          <w:bCs/>
        </w:rPr>
        <w:t xml:space="preserve">Fix fundamentals and alert ownership (0–3 months).</w:t>
      </w:r>
      <w:r>
        <w:t xml:space="preserve"> Enforce phishing-resistant MFA on all remote access and assign 24/7 alert triage, in-house or through MDR. This addresses the Medibank pattern.</w:t>
      </w:r>
    </w:p>
    <w:p>
      <w:pPr>
        <w:spacing w:after="160" w:line="360"/>
        <w:ind w:left="567" w:hanging="340"/>
      </w:pPr>
      <w:r>
        <w:t xml:space="preserve">2. </w:t>
      </w:r>
      <w:r>
        <w:rPr>
          <w:b/>
          <w:bCs/>
        </w:rPr>
        <w:t xml:space="preserve">Integrate SIEM with EDR/XDR (3–9 months).</w:t>
      </w:r>
      <w:r>
        <w:t xml:space="preserve"> Centralise identity, API, cloud and endpoint logs to ASD’s baseline (ASD’s ACSC et al., 2024), addressing the Optus and Latitude patterns.</w:t>
      </w:r>
    </w:p>
    <w:p>
      <w:pPr>
        <w:spacing w:after="160" w:line="360"/>
        <w:ind w:left="567" w:hanging="340"/>
      </w:pPr>
      <w:r>
        <w:t xml:space="preserve">3. </w:t>
      </w:r>
      <w:r>
        <w:rPr>
          <w:b/>
          <w:bCs/>
        </w:rPr>
        <w:t xml:space="preserve">Build forensic readiness (6–12 months).</w:t>
      </w:r>
      <w:r>
        <w:t xml:space="preserve"> Hold a DFIR retainer, extend log retention and rehearse SP 800-61r3-aligned playbooks.</w:t>
      </w:r>
    </w:p>
    <w:p>
      <w:pPr>
        <w:spacing w:after="160" w:line="360"/>
        <w:ind w:left="567" w:hanging="340"/>
      </w:pPr>
      <w:r>
        <w:t xml:space="preserve">4. </w:t>
      </w:r>
      <w:r>
        <w:rPr>
          <w:b/>
          <w:bCs/>
        </w:rPr>
        <w:t xml:space="preserve">Add threat intelligence last (12+ months).</w:t>
      </w:r>
      <w:r>
        <w:t xml:space="preserve"> Introduce a TIP only once triage is mature.</w:t>
      </w:r>
    </w:p>
    <w:p>
      <w:pPr>
        <w:spacing w:after="160" w:line="360"/>
      </w:pPr>
      <w:r>
        <w:t xml:space="preserve">Combined with data minimisation and FAIR-based loss quantification (Freund &amp; Jones, 2015), these steps align investment with risk rather than vendor promises.</w:t>
      </w:r>
    </w:p>
    <w:p>
      <w:r>
        <w:br w:type="page"/>
      </w:r>
    </w:p>
    <w:p>
      <w:pPr>
        <w:spacing w:after="200"/>
        <w:jc w:val="center"/>
      </w:pPr>
      <w:r>
        <w:rPr>
          <w:b/>
          <w:bCs/>
        </w:rPr>
        <w:t xml:space="preserve">References</w:t>
      </w:r>
    </w:p>
    <w:p>
      <w:pPr>
        <w:spacing w:after="160" w:line="360"/>
        <w:ind w:left="720" w:hanging="720"/>
      </w:pPr>
      <w:r>
        <w:t xml:space="preserve">ACS Information Age. (2023). </w:t>
      </w:r>
      <w:r>
        <w:rPr>
          <w:i/>
          <w:iCs/>
        </w:rPr>
        <w:t xml:space="preserve">Data breach cost Latitude $76 million</w:t>
      </w:r>
      <w:r>
        <w:t xml:space="preserve">. https://ia.acs.org.au/article/2023/data-breach-cost-latitude--76-million.html</w:t>
      </w:r>
    </w:p>
    <w:p>
      <w:pPr>
        <w:spacing w:after="160" w:line="360"/>
        <w:ind w:left="720" w:hanging="720"/>
      </w:pPr>
      <w:r>
        <w:t xml:space="preserve">Alahmadi, B. A., Axon, L., &amp; Martinovic, I. (2022). 99% false positives: A qualitative study of SOC analysts’ perspectives on security alarms. In </w:t>
      </w:r>
      <w:r>
        <w:rPr>
          <w:i/>
          <w:iCs/>
        </w:rPr>
        <w:t xml:space="preserve">Proceedings of the 31st USENIX Security Symposium</w:t>
      </w:r>
      <w:r>
        <w:t xml:space="preserve">. USENIX Association. https://www.usenix.org/conference/usenixsecurity22/presentation/alahmadi</w:t>
      </w:r>
    </w:p>
    <w:p>
      <w:pPr>
        <w:spacing w:after="160" w:line="360"/>
        <w:ind w:left="720" w:hanging="720"/>
      </w:pPr>
      <w:r>
        <w:t xml:space="preserve">ASD’s Australian Cyber Security Centre, Cybersecurity and Infrastructure Security Agency, Federal Bureau of Investigation, National Security Agency, et al. (2024). </w:t>
      </w:r>
      <w:r>
        <w:rPr>
          <w:i/>
          <w:iCs/>
        </w:rPr>
        <w:t xml:space="preserve">Best practices for event logging and threat detection</w:t>
      </w:r>
      <w:r>
        <w:t xml:space="preserve">. Australian Signals Directorate. https://www.cyber.gov.au/business-government/detecting-responding-to-threats/event-logging/best-practices-for-event-logging-and-threat-detection</w:t>
      </w:r>
    </w:p>
    <w:p>
      <w:pPr>
        <w:spacing w:after="160" w:line="360"/>
        <w:ind w:left="720" w:hanging="720"/>
      </w:pPr>
      <w:r>
        <w:t xml:space="preserve">Australian Signals Directorate. (2025). </w:t>
      </w:r>
      <w:r>
        <w:rPr>
          <w:i/>
          <w:iCs/>
        </w:rPr>
        <w:t xml:space="preserve">Annual cyber threat report 2024–2025</w:t>
      </w:r>
      <w:r>
        <w:t xml:space="preserve">. https://www.cyber.gov.au/about-us/view-all-content/reports-and-statistics/annual-cyber-threat-report-2024-2025</w:t>
      </w:r>
    </w:p>
    <w:p>
      <w:pPr>
        <w:spacing w:after="160" w:line="360"/>
        <w:ind w:left="720" w:hanging="720"/>
      </w:pPr>
      <w:r>
        <w:t xml:space="preserve">Australian Signals Directorate. (2023). </w:t>
      </w:r>
      <w:r>
        <w:rPr>
          <w:i/>
          <w:iCs/>
        </w:rPr>
        <w:t xml:space="preserve">Essential Eight maturity model</w:t>
      </w:r>
      <w:r>
        <w:t xml:space="preserve">. https://www.cyber.gov.au/business-government/asds-cyber-security-frameworks/essential-eight/essential-eight-maturity-model</w:t>
      </w:r>
    </w:p>
    <w:p>
      <w:pPr>
        <w:spacing w:after="160" w:line="360"/>
        <w:ind w:left="720" w:hanging="720"/>
      </w:pPr>
      <w:r>
        <w:t xml:space="preserve">Department of Home Affairs. (2025). </w:t>
      </w:r>
      <w:r>
        <w:rPr>
          <w:i/>
          <w:iCs/>
        </w:rPr>
        <w:t xml:space="preserve">Ransomware payment reporting</w:t>
      </w:r>
      <w:r>
        <w:t xml:space="preserve"> [Fact sheet]. https://www.homeaffairs.gov.au/cyber-security-subsite/files/factsheet-ransomware-payment-reporting.pdf</w:t>
      </w:r>
    </w:p>
    <w:p>
      <w:pPr>
        <w:spacing w:after="160" w:line="360"/>
        <w:ind w:left="720" w:hanging="720"/>
      </w:pPr>
      <w:r>
        <w:t xml:space="preserve">Freund, J., &amp; Jones, J. (2015). </w:t>
      </w:r>
      <w:r>
        <w:rPr>
          <w:i/>
          <w:iCs/>
        </w:rPr>
        <w:t xml:space="preserve">Measuring and managing information risk: A FAIR approach</w:t>
      </w:r>
      <w:r>
        <w:t xml:space="preserve">. Butterworth-Heinemann.</w:t>
      </w:r>
    </w:p>
    <w:p>
      <w:pPr>
        <w:spacing w:after="160" w:line="360"/>
        <w:ind w:left="720" w:hanging="720"/>
      </w:pPr>
      <w:r>
        <w:t xml:space="preserve">González-Granadillo, G., González-Zarzosa, S., &amp; Diaz, R. (2021). Security information and event management (SIEM): Analysis, trends, and usage in critical infrastructures. </w:t>
      </w:r>
      <w:r>
        <w:rPr>
          <w:i/>
          <w:iCs/>
        </w:rPr>
        <w:t xml:space="preserve">Sensors, 21</w:t>
      </w:r>
      <w:r>
        <w:t xml:space="preserve">(14), Article 4759. https://doi.org/10.3390/s21144759</w:t>
      </w:r>
    </w:p>
    <w:p>
      <w:pPr>
        <w:spacing w:after="160" w:line="360"/>
        <w:ind w:left="720" w:hanging="720"/>
      </w:pPr>
      <w:r>
        <w:t xml:space="preserve">Herbert Smith Freehills Kramer. (2025). </w:t>
      </w:r>
      <w:r>
        <w:rPr>
          <w:i/>
          <w:iCs/>
        </w:rPr>
        <w:t xml:space="preserve">Disentangling the purpose of forensic reports in a "rapidly evolving" cyber incident: Medibank privilege decision</w:t>
      </w:r>
      <w:r>
        <w:t xml:space="preserve">. https://www.hsfkramer.com/insights/2025-04/dis-entangling-the-purpose-of-forensic-reports-in-a-rapidly-evolving-cyber-incident</w:t>
      </w:r>
    </w:p>
    <w:p>
      <w:pPr>
        <w:spacing w:after="160" w:line="360"/>
        <w:ind w:left="720" w:hanging="720"/>
      </w:pPr>
      <w:r>
        <w:t xml:space="preserve">iTnews. (2024). </w:t>
      </w:r>
      <w:r>
        <w:rPr>
          <w:i/>
          <w:iCs/>
        </w:rPr>
        <w:t xml:space="preserve">Optus breach allegedly enabled by access control coding error</w:t>
      </w:r>
      <w:r>
        <w:t xml:space="preserve">. https://www.itnews.com.au/news/optus-breach-allegedly-enabled-by-access-control-coding-error-608985</w:t>
      </w:r>
    </w:p>
    <w:p>
      <w:pPr>
        <w:spacing w:after="160" w:line="360"/>
        <w:ind w:left="720" w:hanging="720"/>
      </w:pPr>
      <w:r>
        <w:t xml:space="preserve">National Institute of Standards and Technology. (2024). </w:t>
      </w:r>
      <w:r>
        <w:rPr>
          <w:i/>
          <w:iCs/>
        </w:rPr>
        <w:t xml:space="preserve">The NIST Cybersecurity Framework (CSF) 2.0</w:t>
      </w:r>
      <w:r>
        <w:t xml:space="preserve"> (NIST CSWP 29). https://doi.org/10.6028/NIST.CSWP.29</w:t>
      </w:r>
    </w:p>
    <w:p>
      <w:pPr>
        <w:spacing w:after="160" w:line="360"/>
        <w:ind w:left="720" w:hanging="720"/>
      </w:pPr>
      <w:r>
        <w:t xml:space="preserve">Nelson, A., Rekhi, S., Souppaya, M., &amp; Scarfone, K. (2025). </w:t>
      </w:r>
      <w:r>
        <w:rPr>
          <w:i/>
          <w:iCs/>
        </w:rPr>
        <w:t xml:space="preserve">Incident response recommendations and considerations for cybersecurity risk management: A CSF 2.0 community profile</w:t>
      </w:r>
      <w:r>
        <w:t xml:space="preserve"> (NIST SP 800-61r3). National Institute of Standards and Technology. https://doi.org/10.6028/NIST.SP.800-61r3</w:t>
      </w:r>
    </w:p>
    <w:p>
      <w:pPr>
        <w:spacing w:after="160" w:line="360"/>
        <w:ind w:left="720" w:hanging="720"/>
      </w:pPr>
      <w:r>
        <w:t xml:space="preserve">Office of the Australian Information Commissioner. (2024). </w:t>
      </w:r>
      <w:r>
        <w:rPr>
          <w:i/>
          <w:iCs/>
        </w:rPr>
        <w:t xml:space="preserve">Australian Information Commissioner v Medibank Private Limited: Concise statement</w:t>
      </w:r>
      <w:r>
        <w:t xml:space="preserve">. https://www.oaic.gov.au/__data/assets/pdf_file/0025/221974/Australian-Information-Commissioner-v-Medibank-Private-Limited-concise-statement.pdf</w:t>
      </w:r>
    </w:p>
    <w:p>
      <w:pPr>
        <w:spacing w:after="160" w:line="360"/>
        <w:ind w:left="720" w:hanging="720"/>
      </w:pPr>
      <w:r>
        <w:t xml:space="preserve">Office of the Australian Information Commissioner. (2025). </w:t>
      </w:r>
      <w:r>
        <w:rPr>
          <w:i/>
          <w:iCs/>
        </w:rPr>
        <w:t xml:space="preserve">Australian Information Commissioner takes civil penalty action against Optus</w:t>
      </w:r>
      <w:r>
        <w:t xml:space="preserve"> [Media release]. https://www.oaic.gov.au/news/media-centre/australian-information-commissioner-takes-civil-penalty-action-against-optus</w:t>
      </w:r>
    </w:p>
    <w:p>
      <w:pPr>
        <w:spacing w:after="160" w:line="360"/>
        <w:ind w:left="720" w:hanging="720"/>
      </w:pPr>
      <w:r>
        <w:rPr>
          <w:i/>
          <w:iCs/>
        </w:rPr>
        <w:t xml:space="preserve">Privacy and Other Legislation Amendment Act 2024</w:t>
      </w:r>
      <w:r>
        <w:t xml:space="preserve"> (Cth).</w:t>
      </w:r>
    </w:p>
    <w:p>
      <w:pPr>
        <w:spacing w:after="160" w:line="360"/>
        <w:ind w:left="720" w:hanging="720"/>
      </w:pPr>
      <w:r>
        <w:t xml:space="preserve">SecurityWeek. (2023). </w:t>
      </w:r>
      <w:r>
        <w:rPr>
          <w:i/>
          <w:iCs/>
        </w:rPr>
        <w:t xml:space="preserve">14 million records stolen in data breach at Latitude Financial Services</w:t>
      </w:r>
      <w:r>
        <w:t xml:space="preserve">. https://www.securityweek.com/14-million-records-stolen-in-data-breach-at-latitude-financial-services/</w:t>
      </w:r>
    </w:p>
    <w:p>
      <w:r>
        <w:br w:type="page"/>
      </w:r>
    </w:p>
    <w:p>
      <w:pPr>
        <w:spacing w:after="200"/>
        <w:jc w:val="center"/>
      </w:pPr>
      <w:r>
        <w:rPr>
          <w:b/>
          <w:bCs/>
        </w:rPr>
        <w:t xml:space="preserve">Appendix: Literature Review</w:t>
      </w:r>
    </w:p>
    <w:p>
      <w:pPr>
        <w:spacing w:after="160" w:line="360"/>
      </w:pPr>
      <w:r>
        <w:t xml:space="preserve">This appendix summarises four authoritative sources that informed the report, assessing each for relevance, authority and key insights.</w:t>
      </w:r>
    </w:p>
    <w:p>
      <w:pPr>
        <w:keepNext/>
        <w:spacing w:after="80" w:before="200"/>
      </w:pPr>
      <w:r>
        <w:rPr>
          <w:b/>
          <w:bCs/>
        </w:rPr>
        <w:t xml:space="preserve">Source 1</w:t>
      </w:r>
    </w:p>
    <w:p>
      <w:pPr>
        <w:spacing w:after="160" w:line="360"/>
        <w:ind w:left="720" w:hanging="720"/>
      </w:pPr>
      <w:r>
        <w:t xml:space="preserve">National Institute of Standards and Technology. (2024). </w:t>
      </w:r>
      <w:r>
        <w:rPr>
          <w:i/>
          <w:iCs/>
        </w:rPr>
        <w:t xml:space="preserve">The NIST Cybersecurity Framework (CSF) 2.0</w:t>
      </w:r>
      <w:r>
        <w:t xml:space="preserve"> (NIST CSWP 29).</w:t>
      </w:r>
    </w:p>
    <w:p>
      <w:pPr>
        <w:spacing w:after="160" w:line="360"/>
      </w:pPr>
      <w:r>
        <w:rPr>
          <w:b/>
          <w:bCs/>
        </w:rPr>
        <w:t xml:space="preserve">Relevance:</w:t>
      </w:r>
      <w:r>
        <w:t xml:space="preserve"> CSF 2.0 provides the framework used to align tool categories with risk management outcomes. </w:t>
      </w:r>
      <w:r>
        <w:rPr>
          <w:b/>
          <w:bCs/>
        </w:rPr>
        <w:t xml:space="preserve">Authority:</w:t>
      </w:r>
      <w:r>
        <w:t xml:space="preserve"> NIST is the United States federal standards body, and the CSF is widely adopted internationally, including by Australian organisations. </w:t>
      </w:r>
      <w:r>
        <w:rPr>
          <w:b/>
          <w:bCs/>
        </w:rPr>
        <w:t xml:space="preserve">Insights:</w:t>
      </w:r>
      <w:r>
        <w:t xml:space="preserve"> Version 2.0 adds a sixth function, Govern, which places cyber risk within enterprise risk management and assigns responsibility to leadership. It organises outcomes under Govern, Identify, Protect, Detect, Respond and Recover, enabling organisations to describe current and target profiles. </w:t>
      </w:r>
      <w:r>
        <w:rPr>
          <w:b/>
          <w:bCs/>
        </w:rPr>
        <w:t xml:space="preserve">Use in this report:</w:t>
      </w:r>
      <w:r>
        <w:t xml:space="preserve"> The framework structures Figure 1 and the recommendations. In particular, the Govern function supports the argument that investigation failures in the three breaches were organisational rather than purely technical, and that tool investment should follow a governed, maturity-based roadmap.</w:t>
      </w:r>
    </w:p>
    <w:p>
      <w:pPr>
        <w:keepNext/>
        <w:spacing w:after="80" w:before="200"/>
      </w:pPr>
      <w:r>
        <w:rPr>
          <w:b/>
          <w:bCs/>
        </w:rPr>
        <w:t xml:space="preserve">Source 2</w:t>
      </w:r>
    </w:p>
    <w:p>
      <w:pPr>
        <w:spacing w:after="160" w:line="360"/>
        <w:ind w:left="720" w:hanging="720"/>
      </w:pPr>
      <w:r>
        <w:t xml:space="preserve">Nelson, A., Rekhi, S., Souppaya, M., &amp; Scarfone, K. (2025). </w:t>
      </w:r>
      <w:r>
        <w:rPr>
          <w:i/>
          <w:iCs/>
        </w:rPr>
        <w:t xml:space="preserve">Incident response recommendations and considerations for cybersecurity risk management: A CSF 2.0 community profile</w:t>
      </w:r>
      <w:r>
        <w:t xml:space="preserve"> (NIST SP 800-61r3).</w:t>
      </w:r>
    </w:p>
    <w:p>
      <w:pPr>
        <w:spacing w:after="160" w:line="360"/>
      </w:pPr>
      <w:r>
        <w:rPr>
          <w:b/>
          <w:bCs/>
        </w:rPr>
        <w:t xml:space="preserve">Relevance:</w:t>
      </w:r>
      <w:r>
        <w:t xml:space="preserve"> This is the current NIST incident response guidance, directly addressing detection, containment, eradication and recovery. </w:t>
      </w:r>
      <w:r>
        <w:rPr>
          <w:b/>
          <w:bCs/>
        </w:rPr>
        <w:t xml:space="preserve">Authority:</w:t>
      </w:r>
      <w:r>
        <w:t xml:space="preserve"> It is a 2025 NIST Special Publication replacing the 2012 Revision 2, written by NIST specialists and developed with public consultation. </w:t>
      </w:r>
      <w:r>
        <w:rPr>
          <w:b/>
          <w:bCs/>
        </w:rPr>
        <w:t xml:space="preserve">Insights:</w:t>
      </w:r>
      <w:r>
        <w:t xml:space="preserve"> Revision 3 reframes incident response as a continuous component of cybersecurity risk management, organised as a CSF 2.0 community profile rather than a stand-alone life cycle. It emphasises preparation, continuous improvement and keeping detailed playbooks current through online resources. </w:t>
      </w:r>
      <w:r>
        <w:rPr>
          <w:b/>
          <w:bCs/>
        </w:rPr>
        <w:t xml:space="preserve">Use in this report:</w:t>
      </w:r>
      <w:r>
        <w:t xml:space="preserve"> It provides the incident response lens in Section 4 and supports the recommendation to build forensic readiness and rehearse playbooks, showing that tools must be embedded in ongoing processes to be effective.</w:t>
      </w:r>
    </w:p>
    <w:p>
      <w:pPr>
        <w:keepNext/>
        <w:spacing w:after="80" w:before="200"/>
      </w:pPr>
      <w:r>
        <w:rPr>
          <w:b/>
          <w:bCs/>
        </w:rPr>
        <w:t xml:space="preserve">Source 3</w:t>
      </w:r>
    </w:p>
    <w:p>
      <w:pPr>
        <w:spacing w:after="160" w:line="360"/>
        <w:ind w:left="720" w:hanging="720"/>
      </w:pPr>
      <w:r>
        <w:t xml:space="preserve">ASD’s Australian Cyber Security Centre et al. (2024). </w:t>
      </w:r>
      <w:r>
        <w:rPr>
          <w:i/>
          <w:iCs/>
        </w:rPr>
        <w:t xml:space="preserve">Best practices for event logging and threat detection</w:t>
      </w:r>
      <w:r>
        <w:t xml:space="preserve">.</w:t>
      </w:r>
    </w:p>
    <w:p>
      <w:pPr>
        <w:spacing w:after="160" w:line="360"/>
      </w:pPr>
      <w:r>
        <w:rPr>
          <w:b/>
          <w:bCs/>
        </w:rPr>
        <w:t xml:space="preserve">Relevance:</w:t>
      </w:r>
      <w:r>
        <w:t xml:space="preserve"> This guidance directly concerns SIEM and log analytics, the central tool category in this report. </w:t>
      </w:r>
      <w:r>
        <w:rPr>
          <w:b/>
          <w:bCs/>
        </w:rPr>
        <w:t xml:space="preserve">Authority:</w:t>
      </w:r>
      <w:r>
        <w:t xml:space="preserve"> It was led by ASD’s ACSC with CISA, the FBI, the NSA and other international partners, making it authoritative and specific to the Australian context. </w:t>
      </w:r>
      <w:r>
        <w:rPr>
          <w:b/>
          <w:bCs/>
        </w:rPr>
        <w:t xml:space="preserve">Insights:</w:t>
      </w:r>
      <w:r>
        <w:t xml:space="preserve"> It identifies four key factors: an enterprise-approved event logging policy, centralised log access and correlation, secure storage and log integrity, and a detection strategy for relevant threats. It also highlights the importance of logging cloud and identity sources. </w:t>
      </w:r>
      <w:r>
        <w:rPr>
          <w:b/>
          <w:bCs/>
        </w:rPr>
        <w:t xml:space="preserve">Use in this report:</w:t>
      </w:r>
      <w:r>
        <w:t xml:space="preserve"> It supports the appraisal of SIEM coverage in Section 3 and underpins Recommendation 2, which proposes centralising identity, API, cloud and endpoint logs to a recognised Australian baseline.</w:t>
      </w:r>
    </w:p>
    <w:p>
      <w:pPr>
        <w:keepNext/>
        <w:spacing w:after="80" w:before="200"/>
      </w:pPr>
      <w:r>
        <w:rPr>
          <w:b/>
          <w:bCs/>
        </w:rPr>
        <w:t xml:space="preserve">Source 4</w:t>
      </w:r>
    </w:p>
    <w:p>
      <w:pPr>
        <w:spacing w:after="160" w:line="360"/>
        <w:ind w:left="720" w:hanging="720"/>
      </w:pPr>
      <w:r>
        <w:t xml:space="preserve">Alahmadi, B. A., Axon, L., &amp; Martinovic, I. (2022). 99% false positives: A qualitative study of SOC analysts’ perspectives on security alarms. In </w:t>
      </w:r>
      <w:r>
        <w:rPr>
          <w:i/>
          <w:iCs/>
        </w:rPr>
        <w:t xml:space="preserve">Proceedings of the 31st USENIX Security Symposium</w:t>
      </w:r>
      <w:r>
        <w:t xml:space="preserve">.</w:t>
      </w:r>
    </w:p>
    <w:p>
      <w:pPr>
        <w:spacing w:after="160" w:line="360"/>
      </w:pPr>
      <w:r>
        <w:rPr>
          <w:b/>
          <w:bCs/>
        </w:rPr>
        <w:t xml:space="preserve">Relevance:</w:t>
      </w:r>
      <w:r>
        <w:t xml:space="preserve"> This study examines how detection tools perform in practice, which is central to appraising detection accuracy. </w:t>
      </w:r>
      <w:r>
        <w:rPr>
          <w:b/>
          <w:bCs/>
        </w:rPr>
        <w:t xml:space="preserve">Authority:</w:t>
      </w:r>
      <w:r>
        <w:t xml:space="preserve"> It is a peer-reviewed paper from USENIX Security, a leading academic security conference, by University of Oxford researchers. </w:t>
      </w:r>
      <w:r>
        <w:rPr>
          <w:b/>
          <w:bCs/>
        </w:rPr>
        <w:t xml:space="preserve">Insights:</w:t>
      </w:r>
      <w:r>
        <w:t xml:space="preserve"> Based on interviews with SOC practitioners, it finds that analysts perceive most alarms as false positives, causing alert fatigue and reducing trust in security tools. It also finds that analysts value context and explainability over volume of alerts. </w:t>
      </w:r>
      <w:r>
        <w:rPr>
          <w:b/>
          <w:bCs/>
        </w:rPr>
        <w:t xml:space="preserve">Use in this report:</w:t>
      </w:r>
      <w:r>
        <w:t xml:space="preserve"> It provides empirical support for rating SIEM detection accuracy as tuning-dependent in Table 1, and helps explain the Medibank case, where alerts were allegedly generated but not triaged. It also informs the discussion of AI-assisted triage in Section 6.</w:t>
      </w:r>
    </w:p>
    <w:sectPr>
      <w:footerReference w:type="default" r:id="rId6"/>
      <w:footerReference w:type="firs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40"/>
      <w:outlineLvl w:val="0"/>
    </w:pPr>
    <w:rPr>
      <w:rFonts w:ascii="Times New Roman" w:cs="Times New Roman" w:eastAsia="Times New Roman" w:hAnsi="Times New Roman"/>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f95024fedbbd6040fdad3ded9feb3e843769669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MIS5304 Assessment 3 Report</dc:title>
  <dc:creator>Student</dc:creator>
  <cp:lastModifiedBy>Un-named</cp:lastModifiedBy>
  <cp:revision>1</cp:revision>
  <dcterms:created xsi:type="dcterms:W3CDTF">2026-10-04T04:09:21.269Z</dcterms:created>
  <dcterms:modified xsi:type="dcterms:W3CDTF">2026-10-04T04:09:21.278Z</dcterms:modified>
</cp:coreProperties>
</file>

<file path=docProps/custom.xml><?xml version="1.0" encoding="utf-8"?>
<Properties xmlns="http://schemas.openxmlformats.org/officeDocument/2006/custom-properties" xmlns:vt="http://schemas.openxmlformats.org/officeDocument/2006/docPropsVTypes"/>
</file>