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rPr>
          <w:rFonts w:ascii="Calibri" w:cs="Calibri" w:eastAsia="Calibri" w:hAnsi="Calibri"/>
        </w:rPr>
        <w:t xml:space="preserve">PulseWear Vantage: Influencer Network Analysis and Multi-Layer A/B Testing Strategy</w:t>
      </w:r>
    </w:p>
    <w:p>
      <w:pPr>
        <w:spacing w:after="200"/>
      </w:pPr>
      <w:r>
        <w:rPr>
          <w:rFonts w:ascii="Calibri" w:cs="Calibri" w:eastAsia="Calibri" w:hAnsi="Calibri"/>
          <w:color w:val="595959"/>
          <w:sz w:val="20"/>
          <w:szCs w:val="20"/>
        </w:rPr>
        <w:t xml:space="preserve">MIS5308 Social and Web Analytics – Assessment 1, Week 3 PBL | Student name: [Your name] | Student ID: [Your ID]</w:t>
      </w:r>
    </w:p>
    <w:p>
      <w:pPr>
        <w:pStyle w:val="Heading1"/>
        <w:keepNext/>
      </w:pPr>
      <w:r>
        <w:rPr>
          <w:rFonts w:ascii="Calibri" w:cs="Calibri" w:eastAsia="Calibri" w:hAnsi="Calibri"/>
        </w:rPr>
        <w:t xml:space="preserve">1. Network analysis: where engagement gets stuck</w:t>
      </w:r>
    </w:p>
    <w:p>
      <w:pPr>
        <w:spacing w:after="160" w:line="360"/>
      </w:pPr>
      <w:r>
        <w:rPr>
          <w:rFonts w:ascii="Calibri" w:cs="Calibri" w:eastAsia="Calibri" w:hAnsi="Calibri"/>
        </w:rPr>
        <w:t xml:space="preserve">The 11 interactions were modelled as a multi-layer network (Kivelä et al., 2014), with one layer each for Instagram, Twitter/X and LinkedIn and two inter-layer "Cross" ties (Figure 1). Edges are weighted by interaction intensity (1–4). Degree, betweenness (Freeman, 1977) and weighted eigenvector centrality (Bonacich, 1987) were calculated, and audience segments were detected with Louvain modularity optimisation (Blondel et al., 2008). Full metrics are in Appendix A.</w:t>
      </w:r>
    </w:p>
    <w:p>
      <w:pPr>
        <w:keepNext/>
        <w:spacing w:before="12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714750"/>
                    </a:xfrm>
                    <a:prstGeom prst="rect">
                      <a:avLst/>
                    </a:prstGeom>
                  </pic:spPr>
                </pic:pic>
              </a:graphicData>
            </a:graphic>
          </wp:inline>
        </w:drawing>
      </w:r>
    </w:p>
    <w:p>
      <w:pPr>
        <w:spacing w:after="200"/>
      </w:pPr>
      <w:r>
        <w:rPr>
          <w:rFonts w:ascii="Calibri" w:cs="Calibri" w:eastAsia="Calibri" w:hAnsi="Calibri"/>
          <w:i/>
          <w:iCs/>
          <w:sz w:val="20"/>
          <w:szCs w:val="20"/>
        </w:rPr>
        <w:t xml:space="preserve">Figure 1. Annotated multi-layer influencer network. Node size = followers; edge width = interaction weight; black rings mark bridge nodes; BC = normalised betweenness centrality.</w:t>
      </w:r>
    </w:p>
    <w:p>
      <w:pPr>
        <w:spacing w:after="160" w:line="360"/>
      </w:pPr>
      <w:r>
        <w:rPr>
          <w:rFonts w:ascii="Calibri" w:cs="Calibri" w:eastAsia="Calibri" w:hAnsi="Calibri"/>
          <w:b/>
          <w:bCs/>
        </w:rPr>
        <w:t xml:space="preserve">Finding 1: fragmentation is structural.</w:t>
      </w:r>
      <w:r>
        <w:rPr>
          <w:rFonts w:ascii="Calibri" w:cs="Calibri" w:eastAsia="Calibri" w:hAnsi="Calibri"/>
        </w:rPr>
        <w:t xml:space="preserve"> Louvain returns three communities that match the three platforms exactly, with strong separation (Q = 0.57; values above 0.3 indicate clear community structure, Newman, 2006). The Twitter/X and LinkedIn layers are closed triangles (density = 1.0), so content recirculates among the same audiences. Only two weak ties (weight = 1) connect the clusters. This explains why mentions rise while conversions do not: the campaign is amplified </w:t>
      </w:r>
      <w:r>
        <w:rPr>
          <w:rFonts w:ascii="Calibri" w:cs="Calibri" w:eastAsia="Calibri" w:hAnsi="Calibri"/>
          <w:i/>
          <w:iCs/>
        </w:rPr>
        <w:t xml:space="preserve">within</w:t>
      </w:r>
      <w:r>
        <w:rPr>
          <w:rFonts w:ascii="Calibri" w:cs="Calibri" w:eastAsia="Calibri" w:hAnsi="Calibri"/>
        </w:rPr>
        <w:t xml:space="preserve"> silos, not </w:t>
      </w:r>
      <w:r>
        <w:rPr>
          <w:rFonts w:ascii="Calibri" w:cs="Calibri" w:eastAsia="Calibri" w:hAnsi="Calibri"/>
          <w:i/>
          <w:iCs/>
        </w:rPr>
        <w:t xml:space="preserve">across</w:t>
      </w:r>
      <w:r>
        <w:rPr>
          <w:rFonts w:ascii="Calibri" w:cs="Calibri" w:eastAsia="Calibri" w:hAnsi="Calibri"/>
        </w:rPr>
        <w:t xml:space="preserve"> them.</w:t>
      </w:r>
    </w:p>
    <w:p>
      <w:pPr>
        <w:spacing w:after="160" w:line="360"/>
      </w:pPr>
      <w:r>
        <w:rPr>
          <w:rFonts w:ascii="Calibri" w:cs="Calibri" w:eastAsia="Calibri" w:hAnsi="Calibri"/>
          <w:b/>
          <w:bCs/>
        </w:rPr>
        <w:t xml:space="preserve">Finding 2: a few bridges control cross-platform flow.</w:t>
      </w:r>
      <w:r>
        <w:rPr>
          <w:rFonts w:ascii="Calibri" w:cs="Calibri" w:eastAsia="Calibri" w:hAnsi="Calibri"/>
        </w:rPr>
        <w:t xml:space="preserve"> FitSara has the highest betweenness (0.72) and the lowest Burt constraint (0.33), making it the main structural-hole broker (Burt, 1992) and the only Instagram→LinkedIn path. TechNova (0.50) is the only Instagram→Twitter gateway; GadgetGuyX and ProCoach (0.39 each) are the receiving ends. Removing any of these nodes disconnects a platform.</w:t>
      </w:r>
    </w:p>
    <w:p>
      <w:pPr>
        <w:spacing w:after="160" w:line="360"/>
      </w:pPr>
      <w:r>
        <w:rPr>
          <w:rFonts w:ascii="Calibri" w:cs="Calibri" w:eastAsia="Calibri" w:hAnsi="Calibri"/>
          <w:b/>
          <w:bCs/>
        </w:rPr>
        <w:t xml:space="preserve">Finding 3: high eigenvector is not the same as influence.</w:t>
      </w:r>
      <w:r>
        <w:rPr>
          <w:rFonts w:ascii="Calibri" w:cs="Calibri" w:eastAsia="Calibri" w:hAnsi="Calibri"/>
        </w:rPr>
        <w:t xml:space="preserve"> DataDev has the highest eigenvector score (0.62) but zero betweenness, because its score comes from a strong Retweet tie inside a closed triangle. Selecting on eigenvector alone would over-invest in an echo chamber.</w:t>
      </w:r>
    </w:p>
    <w:p>
      <w:pPr>
        <w:pStyle w:val="Heading1"/>
        <w:keepNext/>
      </w:pPr>
      <w:r>
        <w:rPr>
          <w:rFonts w:ascii="Calibri" w:cs="Calibri" w:eastAsia="Calibri" w:hAnsi="Calibri"/>
        </w:rPr>
        <w:t xml:space="preserve">2. Influencer suitability and decision matrix</w:t>
      </w:r>
    </w:p>
    <w:p>
      <w:pPr>
        <w:spacing w:after="160" w:line="360"/>
      </w:pPr>
      <w:r>
        <w:rPr>
          <w:rFonts w:ascii="Calibri" w:cs="Calibri" w:eastAsia="Calibri" w:hAnsi="Calibri"/>
        </w:rPr>
        <w:t xml:space="preserve">Each influencer was scored on six min–max normalised criteria (Table 1; full matrix in Appendix B). Brand fit was judged against an assumed PulseWear identity (innovative, health and performance focused, credible, premium), because no guidelines were supplied. ROI was proxied by cost per conversion = cost per post ÷ (followers × CTR × conversion rate).</w:t>
      </w:r>
    </w:p>
    <w:p>
      <w:pPr>
        <w:keepNext/>
        <w:spacing w:after="80" w:before="120"/>
      </w:pPr>
      <w:r>
        <w:rPr>
          <w:rFonts w:ascii="Calibri" w:cs="Calibri" w:eastAsia="Calibri" w:hAnsi="Calibri"/>
          <w:b/>
          <w:bCs/>
          <w:sz w:val="20"/>
          <w:szCs w:val="20"/>
        </w:rPr>
        <w:t xml:space="preserve">Table 1. Decision matrix summary (weights: reach 15%, engagement 15%, network influence 20%, bridging 15%, brand fit 20%, cost efficiency 15%)</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4"/>
        <w:gridCol w:w="2224"/>
        <w:gridCol w:w="1624"/>
        <w:gridCol w:w="1384"/>
        <w:gridCol w:w="784"/>
        <w:gridCol w:w="1266"/>
      </w:tblGrid>
      <w:tr>
        <w:trPr>
          <w:cantSplit/>
          <w:tblHeader/>
        </w:trPr>
        <w:tc>
          <w:tcPr>
            <w:tcW w:type="dxa" w:w="1744"/>
            <w:tcBorders>
              <w:top w:val="single" w:color="BFBFBF" w:sz="4"/>
              <w:left w:val="single" w:color="BFBFBF" w:sz="4"/>
              <w:bottom w:val="single" w:color="BFBFBF" w:sz="4"/>
              <w:right w:val="single" w:color="BFBFBF" w:sz="4"/>
            </w:tcBorders>
            <w:shd w:fill="E7EEF7" w:color="auto" w:val="clear"/>
            <w:tcMar>
              <w:top w:type="dxa" w:w="40"/>
              <w:left w:type="dxa" w:w="80"/>
              <w:bottom w:type="dxa" w:w="40"/>
              <w:right w:type="dxa" w:w="80"/>
            </w:tcMar>
          </w:tcPr>
          <w:p>
            <w:pPr>
              <w:keepNext/>
            </w:pPr>
            <w:r>
              <w:rPr>
                <w:rFonts w:ascii="Calibri" w:cs="Calibri" w:eastAsia="Calibri" w:hAnsi="Calibri"/>
                <w:b/>
                <w:bCs/>
                <w:sz w:val="18"/>
                <w:szCs w:val="18"/>
              </w:rPr>
              <w:t xml:space="preserve">Influencer</w:t>
            </w:r>
          </w:p>
        </w:tc>
        <w:tc>
          <w:tcPr>
            <w:tcW w:type="dxa" w:w="2224"/>
            <w:tcBorders>
              <w:top w:val="single" w:color="BFBFBF" w:sz="4"/>
              <w:left w:val="single" w:color="BFBFBF" w:sz="4"/>
              <w:bottom w:val="single" w:color="BFBFBF" w:sz="4"/>
              <w:right w:val="single" w:color="BFBFBF" w:sz="4"/>
            </w:tcBorders>
            <w:shd w:fill="E7EEF7" w:color="auto" w:val="clear"/>
            <w:tcMar>
              <w:top w:type="dxa" w:w="40"/>
              <w:left w:type="dxa" w:w="80"/>
              <w:bottom w:type="dxa" w:w="40"/>
              <w:right w:type="dxa" w:w="80"/>
            </w:tcMar>
          </w:tcPr>
          <w:p>
            <w:pPr>
              <w:keepNext/>
            </w:pPr>
            <w:r>
              <w:rPr>
                <w:rFonts w:ascii="Calibri" w:cs="Calibri" w:eastAsia="Calibri" w:hAnsi="Calibri"/>
                <w:b/>
                <w:bCs/>
                <w:sz w:val="18"/>
                <w:szCs w:val="18"/>
              </w:rPr>
              <w:t xml:space="preserve">Role in network</w:t>
            </w:r>
          </w:p>
        </w:tc>
        <w:tc>
          <w:tcPr>
            <w:tcW w:type="dxa" w:w="1624"/>
            <w:tcBorders>
              <w:top w:val="single" w:color="BFBFBF" w:sz="4"/>
              <w:left w:val="single" w:color="BFBFBF" w:sz="4"/>
              <w:bottom w:val="single" w:color="BFBFBF" w:sz="4"/>
              <w:right w:val="single" w:color="BFBFBF" w:sz="4"/>
            </w:tcBorders>
            <w:shd w:fill="E7EEF7" w:color="auto" w:val="clear"/>
            <w:tcMar>
              <w:top w:type="dxa" w:w="40"/>
              <w:left w:type="dxa" w:w="80"/>
              <w:bottom w:type="dxa" w:w="40"/>
              <w:right w:type="dxa" w:w="80"/>
            </w:tcMar>
          </w:tcPr>
          <w:p>
            <w:pPr>
              <w:keepNext/>
            </w:pPr>
            <w:r>
              <w:rPr>
                <w:rFonts w:ascii="Calibri" w:cs="Calibri" w:eastAsia="Calibri" w:hAnsi="Calibri"/>
                <w:b/>
                <w:bCs/>
                <w:sz w:val="18"/>
                <w:szCs w:val="18"/>
              </w:rPr>
              <w:t xml:space="preserve">Brand fit (1–5)</w:t>
            </w:r>
          </w:p>
        </w:tc>
        <w:tc>
          <w:tcPr>
            <w:tcW w:type="dxa" w:w="1384"/>
            <w:tcBorders>
              <w:top w:val="single" w:color="BFBFBF" w:sz="4"/>
              <w:left w:val="single" w:color="BFBFBF" w:sz="4"/>
              <w:bottom w:val="single" w:color="BFBFBF" w:sz="4"/>
              <w:right w:val="single" w:color="BFBFBF" w:sz="4"/>
            </w:tcBorders>
            <w:shd w:fill="E7EEF7" w:color="auto" w:val="clear"/>
            <w:tcMar>
              <w:top w:type="dxa" w:w="40"/>
              <w:left w:type="dxa" w:w="80"/>
              <w:bottom w:type="dxa" w:w="40"/>
              <w:right w:type="dxa" w:w="80"/>
            </w:tcMar>
          </w:tcPr>
          <w:p>
            <w:pPr>
              <w:keepNext/>
            </w:pPr>
            <w:r>
              <w:rPr>
                <w:rFonts w:ascii="Calibri" w:cs="Calibri" w:eastAsia="Calibri" w:hAnsi="Calibri"/>
                <w:b/>
                <w:bCs/>
                <w:sz w:val="18"/>
                <w:szCs w:val="18"/>
              </w:rPr>
              <w:t xml:space="preserve">Best cost / conversion</w:t>
            </w:r>
          </w:p>
        </w:tc>
        <w:tc>
          <w:tcPr>
            <w:tcW w:type="dxa" w:w="784"/>
            <w:tcBorders>
              <w:top w:val="single" w:color="BFBFBF" w:sz="4"/>
              <w:left w:val="single" w:color="BFBFBF" w:sz="4"/>
              <w:bottom w:val="single" w:color="BFBFBF" w:sz="4"/>
              <w:right w:val="single" w:color="BFBFBF" w:sz="4"/>
            </w:tcBorders>
            <w:shd w:fill="E7EEF7" w:color="auto" w:val="clear"/>
            <w:tcMar>
              <w:top w:type="dxa" w:w="40"/>
              <w:left w:type="dxa" w:w="80"/>
              <w:bottom w:type="dxa" w:w="40"/>
              <w:right w:type="dxa" w:w="80"/>
            </w:tcMar>
          </w:tcPr>
          <w:p>
            <w:pPr>
              <w:keepNext/>
            </w:pPr>
            <w:r>
              <w:rPr>
                <w:rFonts w:ascii="Calibri" w:cs="Calibri" w:eastAsia="Calibri" w:hAnsi="Calibri"/>
                <w:b/>
                <w:bCs/>
                <w:sz w:val="18"/>
                <w:szCs w:val="18"/>
              </w:rPr>
              <w:t xml:space="preserve">Score /100</w:t>
            </w:r>
          </w:p>
        </w:tc>
        <w:tc>
          <w:tcPr>
            <w:tcW w:type="dxa" w:w="1266"/>
            <w:tcBorders>
              <w:top w:val="single" w:color="BFBFBF" w:sz="4"/>
              <w:left w:val="single" w:color="BFBFBF" w:sz="4"/>
              <w:bottom w:val="single" w:color="BFBFBF" w:sz="4"/>
              <w:right w:val="single" w:color="BFBFBF" w:sz="4"/>
            </w:tcBorders>
            <w:shd w:fill="E7EEF7" w:color="auto" w:val="clear"/>
            <w:tcMar>
              <w:top w:type="dxa" w:w="40"/>
              <w:left w:type="dxa" w:w="80"/>
              <w:bottom w:type="dxa" w:w="40"/>
              <w:right w:type="dxa" w:w="80"/>
            </w:tcMar>
          </w:tcPr>
          <w:p>
            <w:pPr>
              <w:keepNext/>
            </w:pPr>
            <w:r>
              <w:rPr>
                <w:rFonts w:ascii="Calibri" w:cs="Calibri" w:eastAsia="Calibri" w:hAnsi="Calibri"/>
                <w:b/>
                <w:bCs/>
                <w:sz w:val="18"/>
                <w:szCs w:val="18"/>
              </w:rPr>
              <w:t xml:space="preserve">Decision</w:t>
            </w:r>
          </w:p>
        </w:tc>
      </w:tr>
      <w:tr>
        <w:trPr>
          <w:cantSplit/>
          <w:tblHeader w:val="false"/>
        </w:trPr>
        <w:tc>
          <w:tcPr>
            <w:tcW w:type="dxa" w:w="174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FitSara</w:t>
            </w:r>
          </w:p>
        </w:tc>
        <w:tc>
          <w:tcPr>
            <w:tcW w:type="dxa" w:w="222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Primary bridge (BC 0.72)</w:t>
            </w:r>
          </w:p>
        </w:tc>
        <w:tc>
          <w:tcPr>
            <w:tcW w:type="dxa" w:w="162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5 – motivational fitness</w:t>
            </w:r>
          </w:p>
        </w:tc>
        <w:tc>
          <w:tcPr>
            <w:tcW w:type="dxa" w:w="138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$4.4 (video)</w:t>
            </w:r>
          </w:p>
        </w:tc>
        <w:tc>
          <w:tcPr>
            <w:tcW w:type="dxa" w:w="78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b/>
                <w:bCs/>
                <w:sz w:val="18"/>
                <w:szCs w:val="18"/>
              </w:rPr>
              <w:t xml:space="preserve">70</w:t>
            </w:r>
          </w:p>
        </w:tc>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Priority</w:t>
            </w:r>
          </w:p>
        </w:tc>
      </w:tr>
      <w:tr>
        <w:trPr>
          <w:cantSplit/>
          <w:tblHeader w:val="false"/>
        </w:trPr>
        <w:tc>
          <w:tcPr>
            <w:tcW w:type="dxa" w:w="174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TechNova</w:t>
            </w:r>
          </w:p>
        </w:tc>
        <w:tc>
          <w:tcPr>
            <w:tcW w:type="dxa" w:w="222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Instagram→Twitter gateway, 520k reach</w:t>
            </w:r>
          </w:p>
        </w:tc>
        <w:tc>
          <w:tcPr>
            <w:tcW w:type="dxa" w:w="162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4 – energetic tech reviews</w:t>
            </w:r>
          </w:p>
        </w:tc>
        <w:tc>
          <w:tcPr>
            <w:tcW w:type="dxa" w:w="138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$9.9 (video)</w:t>
            </w:r>
          </w:p>
        </w:tc>
        <w:tc>
          <w:tcPr>
            <w:tcW w:type="dxa" w:w="78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b/>
                <w:bCs/>
                <w:sz w:val="18"/>
                <w:szCs w:val="18"/>
              </w:rPr>
              <w:t xml:space="preserve">62</w:t>
            </w:r>
          </w:p>
        </w:tc>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Priority</w:t>
            </w:r>
          </w:p>
        </w:tc>
      </w:tr>
      <w:tr>
        <w:trPr>
          <w:cantSplit/>
          <w:tblHeader w:val="false"/>
        </w:trPr>
        <w:tc>
          <w:tcPr>
            <w:tcW w:type="dxa" w:w="174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RunSmart</w:t>
            </w:r>
          </w:p>
        </w:tc>
        <w:tc>
          <w:tcPr>
            <w:tcW w:type="dxa" w:w="222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Deepens Instagram cluster</w:t>
            </w:r>
          </w:p>
        </w:tc>
        <w:tc>
          <w:tcPr>
            <w:tcW w:type="dxa" w:w="162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5 – running use case</w:t>
            </w:r>
          </w:p>
        </w:tc>
        <w:tc>
          <w:tcPr>
            <w:tcW w:type="dxa" w:w="138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$7.4 (video)</w:t>
            </w:r>
          </w:p>
        </w:tc>
        <w:tc>
          <w:tcPr>
            <w:tcW w:type="dxa" w:w="78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b/>
                <w:bCs/>
                <w:sz w:val="18"/>
                <w:szCs w:val="18"/>
              </w:rPr>
              <w:t xml:space="preserve">52</w:t>
            </w:r>
          </w:p>
        </w:tc>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Priority</w:t>
            </w:r>
          </w:p>
        </w:tc>
      </w:tr>
      <w:tr>
        <w:trPr>
          <w:cantSplit/>
          <w:tblHeader w:val="false"/>
        </w:trPr>
        <w:tc>
          <w:tcPr>
            <w:tcW w:type="dxa" w:w="174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HealthInsider</w:t>
            </w:r>
          </w:p>
        </w:tc>
        <w:tc>
          <w:tcPr>
            <w:tcW w:type="dxa" w:w="222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Largest LinkedIn reach (210k)</w:t>
            </w:r>
          </w:p>
        </w:tc>
        <w:tc>
          <w:tcPr>
            <w:tcW w:type="dxa" w:w="162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5 – health tech</w:t>
            </w:r>
          </w:p>
        </w:tc>
        <w:tc>
          <w:tcPr>
            <w:tcW w:type="dxa" w:w="138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Untested</w:t>
            </w:r>
          </w:p>
        </w:tc>
        <w:tc>
          <w:tcPr>
            <w:tcW w:type="dxa" w:w="78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b/>
                <w:bCs/>
                <w:sz w:val="18"/>
                <w:szCs w:val="18"/>
              </w:rPr>
              <w:t xml:space="preserve">39</w:t>
            </w:r>
          </w:p>
        </w:tc>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Secondary (pilot)</w:t>
            </w:r>
          </w:p>
        </w:tc>
      </w:tr>
      <w:tr>
        <w:trPr>
          <w:cantSplit/>
          <w:tblHeader w:val="false"/>
        </w:trPr>
        <w:tc>
          <w:tcPr>
            <w:tcW w:type="dxa" w:w="174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ProCoach</w:t>
            </w:r>
          </w:p>
        </w:tc>
        <w:tc>
          <w:tcPr>
            <w:tcW w:type="dxa" w:w="222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LinkedIn landing bridge (BC 0.39)</w:t>
            </w:r>
          </w:p>
        </w:tc>
        <w:tc>
          <w:tcPr>
            <w:tcW w:type="dxa" w:w="162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4 – professional wellness</w:t>
            </w:r>
          </w:p>
        </w:tc>
        <w:tc>
          <w:tcPr>
            <w:tcW w:type="dxa" w:w="138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Untested</w:t>
            </w:r>
          </w:p>
        </w:tc>
        <w:tc>
          <w:tcPr>
            <w:tcW w:type="dxa" w:w="78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b/>
                <w:bCs/>
                <w:sz w:val="18"/>
                <w:szCs w:val="18"/>
              </w:rPr>
              <w:t xml:space="preserve">38</w:t>
            </w:r>
          </w:p>
        </w:tc>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Secondary (pilot)</w:t>
            </w:r>
          </w:p>
        </w:tc>
      </w:tr>
      <w:tr>
        <w:trPr>
          <w:cantSplit/>
          <w:tblHeader w:val="false"/>
        </w:trPr>
        <w:tc>
          <w:tcPr>
            <w:tcW w:type="dxa" w:w="174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pPr>
            <w:r>
              <w:rPr>
                <w:rFonts w:ascii="Calibri" w:cs="Calibri" w:eastAsia="Calibri" w:hAnsi="Calibri"/>
                <w:sz w:val="18"/>
                <w:szCs w:val="18"/>
              </w:rPr>
              <w:t xml:space="preserve">GadgetGuyX</w:t>
            </w:r>
          </w:p>
        </w:tc>
        <w:tc>
          <w:tcPr>
            <w:tcW w:type="dxa" w:w="222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pPr>
            <w:r>
              <w:rPr>
                <w:rFonts w:ascii="Calibri" w:cs="Calibri" w:eastAsia="Calibri" w:hAnsi="Calibri"/>
                <w:sz w:val="18"/>
                <w:szCs w:val="18"/>
              </w:rPr>
              <w:t xml:space="preserve">Twitter bridge (BC 0.39)</w:t>
            </w:r>
          </w:p>
        </w:tc>
        <w:tc>
          <w:tcPr>
            <w:tcW w:type="dxa" w:w="162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pPr>
            <w:r>
              <w:rPr>
                <w:rFonts w:ascii="Calibri" w:cs="Calibri" w:eastAsia="Calibri" w:hAnsi="Calibri"/>
                <w:sz w:val="18"/>
                <w:szCs w:val="18"/>
              </w:rPr>
              <w:t xml:space="preserve">2 – humorous tone</w:t>
            </w:r>
          </w:p>
        </w:tc>
        <w:tc>
          <w:tcPr>
            <w:tcW w:type="dxa" w:w="138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pPr>
            <w:r>
              <w:rPr>
                <w:rFonts w:ascii="Calibri" w:cs="Calibri" w:eastAsia="Calibri" w:hAnsi="Calibri"/>
                <w:sz w:val="18"/>
                <w:szCs w:val="18"/>
              </w:rPr>
              <w:t xml:space="preserve">$41.7 (tweet)</w:t>
            </w:r>
          </w:p>
        </w:tc>
        <w:tc>
          <w:tcPr>
            <w:tcW w:type="dxa" w:w="78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pPr>
            <w:r>
              <w:rPr>
                <w:rFonts w:ascii="Calibri" w:cs="Calibri" w:eastAsia="Calibri" w:hAnsi="Calibri"/>
                <w:sz w:val="18"/>
                <w:szCs w:val="18"/>
              </w:rPr>
              <w:t xml:space="preserve">31</w:t>
            </w:r>
          </w:p>
        </w:tc>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pPr>
            <w:r>
              <w:rPr>
                <w:rFonts w:ascii="Calibri" w:cs="Calibri" w:eastAsia="Calibri" w:hAnsi="Calibri"/>
                <w:sz w:val="18"/>
                <w:szCs w:val="18"/>
              </w:rPr>
              <w:t xml:space="preserve">Not now</w:t>
            </w:r>
          </w:p>
        </w:tc>
      </w:tr>
    </w:tbl>
    <w:p>
      <w:pPr>
        <w:spacing w:after="120"/>
      </w:pPr>
    </w:p>
    <w:p>
      <w:pPr>
        <w:spacing w:after="160" w:line="360"/>
      </w:pPr>
      <w:r>
        <w:rPr>
          <w:rFonts w:ascii="Calibri" w:cs="Calibri" w:eastAsia="Calibri" w:hAnsi="Calibri"/>
        </w:rPr>
        <w:t xml:space="preserve">The top three stay in the same order under three alternative weightings (Appendix B), so the priority tier is robust. FitSara and TechNova combine bridging with the lowest acquisition costs. RunSmart adds cost-efficient depth rather than reach. ProCoach and HealthInsider are recommended as secondary because they activate LinkedIn, but they have no campaign history, so they enter through a pilot. GadgetGuyX is structurally useful but costs 9.5× more per conversion than FitSara and carries tone risk.</w:t>
      </w:r>
    </w:p>
    <w:p>
      <w:pPr>
        <w:pStyle w:val="Heading1"/>
        <w:keepNext/>
      </w:pPr>
      <w:r>
        <w:rPr>
          <w:rFonts w:ascii="Calibri" w:cs="Calibri" w:eastAsia="Calibri" w:hAnsi="Calibri"/>
        </w:rPr>
        <w:t xml:space="preserve">3. Multi-layer A/B testing blueprint</w:t>
      </w:r>
    </w:p>
    <w:p>
      <w:pPr>
        <w:keepNext/>
        <w:spacing w:after="80" w:before="120"/>
      </w:pPr>
      <w:r>
        <w:rPr>
          <w:rFonts w:ascii="Calibri" w:cs="Calibri" w:eastAsia="Calibri" w:hAnsi="Calibri"/>
          <w:b/>
          <w:bCs/>
          <w:sz w:val="20"/>
          <w:szCs w:val="20"/>
        </w:rPr>
        <w:t xml:space="preserve">Table 2. Experimental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08"/>
        <w:gridCol w:w="5118"/>
      </w:tblGrid>
      <w:tr>
        <w:trPr>
          <w:cantSplit/>
          <w:tblHeader/>
        </w:trPr>
        <w:tc>
          <w:tcPr>
            <w:tcW w:type="dxa" w:w="3908"/>
            <w:tcBorders>
              <w:top w:val="single" w:color="BFBFBF" w:sz="4"/>
              <w:left w:val="single" w:color="BFBFBF" w:sz="4"/>
              <w:bottom w:val="single" w:color="BFBFBF" w:sz="4"/>
              <w:right w:val="single" w:color="BFBFBF" w:sz="4"/>
            </w:tcBorders>
            <w:shd w:fill="E7EEF7" w:color="auto" w:val="clear"/>
            <w:tcMar>
              <w:top w:type="dxa" w:w="40"/>
              <w:left w:type="dxa" w:w="80"/>
              <w:bottom w:type="dxa" w:w="40"/>
              <w:right w:type="dxa" w:w="80"/>
            </w:tcMar>
          </w:tcPr>
          <w:p>
            <w:pPr>
              <w:keepNext/>
            </w:pPr>
            <w:r>
              <w:rPr>
                <w:rFonts w:ascii="Calibri" w:cs="Calibri" w:eastAsia="Calibri" w:hAnsi="Calibri"/>
                <w:b/>
                <w:bCs/>
                <w:sz w:val="18"/>
                <w:szCs w:val="18"/>
              </w:rPr>
              <w:t xml:space="preserve">Element</w:t>
            </w:r>
          </w:p>
        </w:tc>
        <w:tc>
          <w:tcPr>
            <w:tcW w:type="dxa" w:w="5118"/>
            <w:tcBorders>
              <w:top w:val="single" w:color="BFBFBF" w:sz="4"/>
              <w:left w:val="single" w:color="BFBFBF" w:sz="4"/>
              <w:bottom w:val="single" w:color="BFBFBF" w:sz="4"/>
              <w:right w:val="single" w:color="BFBFBF" w:sz="4"/>
            </w:tcBorders>
            <w:shd w:fill="E7EEF7" w:color="auto" w:val="clear"/>
            <w:tcMar>
              <w:top w:type="dxa" w:w="40"/>
              <w:left w:type="dxa" w:w="80"/>
              <w:bottom w:type="dxa" w:w="40"/>
              <w:right w:type="dxa" w:w="80"/>
            </w:tcMar>
          </w:tcPr>
          <w:p>
            <w:pPr>
              <w:keepNext/>
            </w:pPr>
            <w:r>
              <w:rPr>
                <w:rFonts w:ascii="Calibri" w:cs="Calibri" w:eastAsia="Calibri" w:hAnsi="Calibri"/>
                <w:b/>
                <w:bCs/>
                <w:sz w:val="18"/>
                <w:szCs w:val="18"/>
              </w:rPr>
              <w:t xml:space="preserve">Design</w:t>
            </w:r>
          </w:p>
        </w:tc>
      </w:tr>
      <w:tr>
        <w:trPr>
          <w:cantSplit/>
          <w:tblHeader w:val="false"/>
        </w:trPr>
        <w:tc>
          <w:tcPr>
            <w:tcW w:type="dxa" w:w="390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Primary hypothesis (H1)</w:t>
            </w:r>
          </w:p>
        </w:tc>
        <w:tc>
          <w:tcPr>
            <w:tcW w:type="dxa" w:w="511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Bridge influencers (FitSara, TechNova, ProCoach) achieve a higher conversion rate and ROAS than single-cluster influencers (RunSmart, HealthInsider, ZenLife). H0: no difference.</w:t>
            </w:r>
          </w:p>
        </w:tc>
      </w:tr>
      <w:tr>
        <w:trPr>
          <w:cantSplit/>
          <w:tblHeader w:val="false"/>
        </w:trPr>
        <w:tc>
          <w:tcPr>
            <w:tcW w:type="dxa" w:w="390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Secondary hypotheses</w:t>
            </w:r>
          </w:p>
        </w:tc>
        <w:tc>
          <w:tcPr>
            <w:tcW w:type="dxa" w:w="511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H2: short-form video converts better than carousel or long-form. H3: cross-posting along a bridge pair adds unique reach. H4: the format effect differs by influencer type.</w:t>
            </w:r>
          </w:p>
        </w:tc>
      </w:tr>
      <w:tr>
        <w:trPr>
          <w:cantSplit/>
          <w:tblHeader w:val="false"/>
        </w:trPr>
        <w:tc>
          <w:tcPr>
            <w:tcW w:type="dxa" w:w="390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Structure</w:t>
            </w:r>
          </w:p>
        </w:tc>
        <w:tc>
          <w:tcPr>
            <w:tcW w:type="dxa" w:w="511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Layer 1: bridge vs single-cluster arms (parallel). Layer 2: format tests nested within each influencer (video vs carousel; video vs long-form). Layer 3: landing-page A/B, randomised per click.</w:t>
            </w:r>
          </w:p>
        </w:tc>
      </w:tr>
      <w:tr>
        <w:trPr>
          <w:cantSplit/>
          <w:tblHeader w:val="false"/>
        </w:trPr>
        <w:tc>
          <w:tcPr>
            <w:tcW w:type="dxa" w:w="390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Sample size</w:t>
            </w:r>
          </w:p>
        </w:tc>
        <w:tc>
          <w:tcPr>
            <w:tcW w:type="dxa" w:w="511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Two-proportion formula (Kohavi et al., 2020): 13,302 clicks per arm to detect a +30% lift from the 1.48% baseline (Appendix C).</w:t>
            </w:r>
          </w:p>
        </w:tc>
      </w:tr>
      <w:tr>
        <w:trPr>
          <w:cantSplit/>
          <w:tblHeader w:val="false"/>
        </w:trPr>
        <w:tc>
          <w:tcPr>
            <w:tcW w:type="dxa" w:w="390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Significance and analysis</w:t>
            </w:r>
          </w:p>
        </w:tc>
        <w:tc>
          <w:tcPr>
            <w:tcW w:type="dxa" w:w="511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α = 0.05, power = 0.80, Holm correction across H1–H4; mixed-effects logistic regression with influencer and post random effects.</w:t>
            </w:r>
          </w:p>
        </w:tc>
      </w:tr>
      <w:tr>
        <w:trPr>
          <w:cantSplit/>
          <w:tblHeader w:val="false"/>
        </w:trPr>
        <w:tc>
          <w:tcPr>
            <w:tcW w:type="dxa" w:w="390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Test length</w:t>
            </w:r>
          </w:p>
        </w:tc>
        <w:tc>
          <w:tcPr>
            <w:tcW w:type="dxa" w:w="511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4 weeks (full weekly cycles) + 1-week hold-out for lagged purchases; at least 8 posts per influencer; no early stopping.</w:t>
            </w:r>
          </w:p>
        </w:tc>
      </w:tr>
      <w:tr>
        <w:trPr>
          <w:cantSplit/>
          <w:tblHeader w:val="false"/>
        </w:trPr>
        <w:tc>
          <w:tcPr>
            <w:tcW w:type="dxa" w:w="390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Randomisation</w:t>
            </w:r>
          </w:p>
        </w:tc>
        <w:tc>
          <w:tcPr>
            <w:tcW w:type="dxa" w:w="511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Stratified by platform and follower band; posting slots and format order assigned by a seeded random generator, logged before launch by an analyst independent of influencer selection.</w:t>
            </w:r>
          </w:p>
        </w:tc>
      </w:tr>
      <w:tr>
        <w:trPr>
          <w:cantSplit/>
          <w:tblHeader w:val="false"/>
        </w:trPr>
        <w:tc>
          <w:tcPr>
            <w:tcW w:type="dxa" w:w="390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pPr>
            <w:r>
              <w:rPr>
                <w:rFonts w:ascii="Calibri" w:cs="Calibri" w:eastAsia="Calibri" w:hAnsi="Calibri"/>
                <w:sz w:val="18"/>
                <w:szCs w:val="18"/>
              </w:rPr>
              <w:t xml:space="preserve">Controls</w:t>
            </w:r>
          </w:p>
        </w:tc>
        <w:tc>
          <w:tcPr>
            <w:tcW w:type="dxa" w:w="511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pPr>
            <w:r>
              <w:rPr>
                <w:rFonts w:ascii="Calibri" w:cs="Calibri" w:eastAsia="Calibri" w:hAnsi="Calibri"/>
                <w:sz w:val="18"/>
                <w:szCs w:val="18"/>
              </w:rPr>
              <w:t xml:space="preserve">Same posting window, hashtags, 10% offer, CTA and product claims; no paid boosting; linked bridge pairs post in different weeks to limit spillover.</w:t>
            </w:r>
          </w:p>
        </w:tc>
      </w:tr>
    </w:tbl>
    <w:p>
      <w:pPr>
        <w:spacing w:after="120"/>
      </w:pPr>
    </w:p>
    <w:p>
      <w:pPr>
        <w:spacing w:after="160" w:line="360"/>
      </w:pPr>
      <w:r>
        <w:rPr>
          <w:rFonts w:ascii="Calibri" w:cs="Calibri" w:eastAsia="Calibri" w:hAnsi="Calibri"/>
        </w:rPr>
        <w:t xml:space="preserve">The number of clicks is not the constraint: one FitSara or TechNova video already produces about 19,000 clicks. The real limit is having only three influencers per arm, so the analysis models the clustering and reports effect sizes with confidence intervals rather than relying on a single p-value.</w:t>
      </w:r>
    </w:p>
    <w:p>
      <w:pPr>
        <w:pStyle w:val="Heading1"/>
        <w:keepNext/>
      </w:pPr>
      <w:r>
        <w:rPr>
          <w:rFonts w:ascii="Calibri" w:cs="Calibri" w:eastAsia="Calibri" w:hAnsi="Calibri"/>
        </w:rPr>
        <w:t xml:space="preserve">4. Dashboard, risks and strategic rationale</w:t>
      </w:r>
    </w:p>
    <w:p>
      <w:pPr>
        <w:keepNext/>
        <w:spacing w:before="120"/>
        <w:jc w:val="center"/>
      </w:pPr>
      <w:r>
        <w:drawing>
          <wp:inline distT="0" distB="0" distL="0" distR="0">
            <wp:extent cx="5334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43225"/>
                    </a:xfrm>
                    <a:prstGeom prst="rect">
                      <a:avLst/>
                    </a:prstGeom>
                  </pic:spPr>
                </pic:pic>
              </a:graphicData>
            </a:graphic>
          </wp:inline>
        </w:drawing>
      </w:r>
    </w:p>
    <w:p>
      <w:pPr>
        <w:spacing w:after="200"/>
      </w:pPr>
      <w:r>
        <w:rPr>
          <w:rFonts w:ascii="Calibri" w:cs="Calibri" w:eastAsia="Calibri" w:hAnsi="Calibri"/>
          <w:i/>
          <w:iCs/>
          <w:sz w:val="20"/>
          <w:szCs w:val="20"/>
        </w:rPr>
        <w:t xml:space="preserve">Figure 2. Dashboard mock-up integrating network results, suitability scores and planned A/B test KPIs.</w:t>
      </w:r>
    </w:p>
    <w:p>
      <w:pPr>
        <w:keepNext/>
        <w:spacing w:after="80" w:before="120"/>
      </w:pPr>
      <w:r>
        <w:rPr>
          <w:rFonts w:ascii="Calibri" w:cs="Calibri" w:eastAsia="Calibri" w:hAnsi="Calibri"/>
          <w:b/>
          <w:bCs/>
          <w:sz w:val="20"/>
          <w:szCs w:val="20"/>
        </w:rPr>
        <w:t xml:space="preserve">Table 3. Key risks and mitigations (full analysis in Appendix 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cantSplit/>
          <w:tblHeader/>
        </w:trPr>
        <w:tc>
          <w:tcPr>
            <w:tcW w:type="dxa" w:w="4513"/>
            <w:tcBorders>
              <w:top w:val="single" w:color="BFBFBF" w:sz="4"/>
              <w:left w:val="single" w:color="BFBFBF" w:sz="4"/>
              <w:bottom w:val="single" w:color="BFBFBF" w:sz="4"/>
              <w:right w:val="single" w:color="BFBFBF" w:sz="4"/>
            </w:tcBorders>
            <w:shd w:fill="E7EEF7" w:color="auto" w:val="clear"/>
            <w:tcMar>
              <w:top w:type="dxa" w:w="40"/>
              <w:left w:type="dxa" w:w="80"/>
              <w:bottom w:type="dxa" w:w="40"/>
              <w:right w:type="dxa" w:w="80"/>
            </w:tcMar>
          </w:tcPr>
          <w:p>
            <w:pPr>
              <w:keepNext/>
            </w:pPr>
            <w:r>
              <w:rPr>
                <w:rFonts w:ascii="Calibri" w:cs="Calibri" w:eastAsia="Calibri" w:hAnsi="Calibri"/>
                <w:b/>
                <w:bCs/>
                <w:sz w:val="18"/>
                <w:szCs w:val="18"/>
              </w:rPr>
              <w:t xml:space="preserve">Risk</w:t>
            </w:r>
          </w:p>
        </w:tc>
        <w:tc>
          <w:tcPr>
            <w:tcW w:type="dxa" w:w="4513"/>
            <w:tcBorders>
              <w:top w:val="single" w:color="BFBFBF" w:sz="4"/>
              <w:left w:val="single" w:color="BFBFBF" w:sz="4"/>
              <w:bottom w:val="single" w:color="BFBFBF" w:sz="4"/>
              <w:right w:val="single" w:color="BFBFBF" w:sz="4"/>
            </w:tcBorders>
            <w:shd w:fill="E7EEF7" w:color="auto" w:val="clear"/>
            <w:tcMar>
              <w:top w:type="dxa" w:w="40"/>
              <w:left w:type="dxa" w:w="80"/>
              <w:bottom w:type="dxa" w:w="40"/>
              <w:right w:type="dxa" w:w="80"/>
            </w:tcMar>
          </w:tcPr>
          <w:p>
            <w:pPr>
              <w:keepNext/>
            </w:pPr>
            <w:r>
              <w:rPr>
                <w:rFonts w:ascii="Calibri" w:cs="Calibri" w:eastAsia="Calibri" w:hAnsi="Calibri"/>
                <w:b/>
                <w:bCs/>
                <w:sz w:val="18"/>
                <w:szCs w:val="18"/>
              </w:rPr>
              <w:t xml:space="preserve">Mitigation built into the design</w:t>
            </w:r>
          </w:p>
        </w:tc>
      </w:tr>
      <w:tr>
        <w:trPr>
          <w:cantSplit/>
          <w:tblHeader w:val="false"/>
        </w:trPr>
        <w:tc>
          <w:tcPr>
            <w:tcW w:type="dxa" w:w="451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Audience fatigue in the Instagram chain</w:t>
            </w:r>
          </w:p>
        </w:tc>
        <w:tc>
          <w:tcPr>
            <w:tcW w:type="dxa" w:w="451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Frequency caps, staggered posting weeks, fatigue KPI on the dashboard</w:t>
            </w:r>
          </w:p>
        </w:tc>
      </w:tr>
      <w:tr>
        <w:trPr>
          <w:cantSplit/>
          <w:tblHeader w:val="false"/>
        </w:trPr>
        <w:tc>
          <w:tcPr>
            <w:tcW w:type="dxa" w:w="451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Algorithm changes reduce reach</w:t>
            </w:r>
          </w:p>
        </w:tc>
        <w:tc>
          <w:tcPr>
            <w:tcW w:type="dxa" w:w="451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Three-platform spread; judge success on conversion per click, not raw reach</w:t>
            </w:r>
          </w:p>
        </w:tc>
      </w:tr>
      <w:tr>
        <w:trPr>
          <w:cantSplit/>
          <w:tblHeader w:val="false"/>
        </w:trPr>
        <w:tc>
          <w:tcPr>
            <w:tcW w:type="dxa" w:w="451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Influencer scandal or dependence on one bridge</w:t>
            </w:r>
          </w:p>
        </w:tc>
        <w:tc>
          <w:tcPr>
            <w:tcW w:type="dxa" w:w="451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Brand-safety vetting and morals clause; no influencer above 35% of budget; secondary tier on standby</w:t>
            </w:r>
          </w:p>
        </w:tc>
      </w:tr>
      <w:tr>
        <w:trPr>
          <w:cantSplit/>
          <w:tblHeader w:val="false"/>
        </w:trPr>
        <w:tc>
          <w:tcPr>
            <w:tcW w:type="dxa" w:w="451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pPr>
            <w:r>
              <w:rPr>
                <w:rFonts w:ascii="Calibri" w:cs="Calibri" w:eastAsia="Calibri" w:hAnsi="Calibri"/>
                <w:sz w:val="18"/>
                <w:szCs w:val="18"/>
              </w:rPr>
              <w:t xml:space="preserve">Non-disclosure and privacy breaches</w:t>
            </w:r>
          </w:p>
        </w:tc>
        <w:tc>
          <w:tcPr>
            <w:tcW w:type="dxa" w:w="451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pPr>
            <w:r>
              <w:rPr>
                <w:rFonts w:ascii="Calibri" w:cs="Calibri" w:eastAsia="Calibri" w:hAnsi="Calibri"/>
                <w:sz w:val="18"/>
                <w:szCs w:val="18"/>
              </w:rPr>
              <w:t xml:space="preserve">#ad labelling (ACCC, 2023); consent-based tracking and aggregated data under the Privacy Act 1988 (Cth)</w:t>
            </w:r>
          </w:p>
        </w:tc>
      </w:tr>
    </w:tbl>
    <w:p>
      <w:pPr>
        <w:spacing w:after="120"/>
      </w:pPr>
    </w:p>
    <w:p>
      <w:pPr>
        <w:spacing w:after="160" w:line="360"/>
      </w:pPr>
      <w:r>
        <w:rPr>
          <w:rFonts w:ascii="Calibri" w:cs="Calibri" w:eastAsia="Calibri" w:hAnsi="Calibri"/>
          <w:b/>
          <w:bCs/>
        </w:rPr>
        <w:t xml:space="preserve">Rationale.</w:t>
      </w:r>
      <w:r>
        <w:rPr>
          <w:rFonts w:ascii="Calibri" w:cs="Calibri" w:eastAsia="Calibri" w:hAnsi="Calibri"/>
        </w:rPr>
        <w:t xml:space="preserve"> PulseWear's conversion problem is structural rather than a product problem. Engagement circulates inside three platform silos that are joined by two weak ties, so adding reach inside a silo mostly re-reaches the same people. Budget should move to bridge activation: FitSara and TechNova on Instagram video, paired with ProCoach to open LinkedIn. The cost data supports the same choice, since brand-aligned Instagram video converts 5–9× more cheaply than Twitter/X or LinkedIn text formats. The A/B design turns this into evidence within five weeks, while its controls separate the influencer effect from format, timing and offer. The main risks all come from concentration, and the design diversifies and monitors each one.</w:t>
      </w:r>
    </w:p>
    <w:p>
      <w:r>
        <w:br w:type="page"/>
      </w:r>
    </w:p>
    <w:p>
      <w:pPr>
        <w:pStyle w:val="Heading1"/>
        <w:keepNext/>
      </w:pPr>
      <w:r>
        <w:rPr>
          <w:rFonts w:ascii="Calibri" w:cs="Calibri" w:eastAsia="Calibri" w:hAnsi="Calibri"/>
        </w:rPr>
        <w:t xml:space="preserve">References</w:t>
      </w:r>
    </w:p>
    <w:p>
      <w:pPr>
        <w:spacing w:after="120" w:line="360"/>
        <w:ind w:left="720" w:hanging="720"/>
      </w:pPr>
      <w:r>
        <w:rPr>
          <w:rFonts w:ascii="Calibri" w:cs="Calibri" w:eastAsia="Calibri" w:hAnsi="Calibri"/>
        </w:rPr>
        <w:t xml:space="preserve">Australian Competition and Consumer Commission. (2023). </w:t>
      </w:r>
      <w:r>
        <w:rPr>
          <w:rFonts w:ascii="Calibri" w:cs="Calibri" w:eastAsia="Calibri" w:hAnsi="Calibri"/>
          <w:i/>
          <w:iCs/>
        </w:rPr>
        <w:t xml:space="preserve">Social media influencers: A guide for influencers on disclosing advertising</w:t>
      </w:r>
      <w:r>
        <w:rPr>
          <w:rFonts w:ascii="Calibri" w:cs="Calibri" w:eastAsia="Calibri" w:hAnsi="Calibri"/>
        </w:rPr>
        <w:t xml:space="preserve">. https://www.accc.gov.au</w:t>
      </w:r>
    </w:p>
    <w:p>
      <w:pPr>
        <w:spacing w:after="120" w:line="360"/>
        <w:ind w:left="720" w:hanging="720"/>
      </w:pPr>
      <w:r>
        <w:rPr>
          <w:rFonts w:ascii="Calibri" w:cs="Calibri" w:eastAsia="Calibri" w:hAnsi="Calibri"/>
        </w:rPr>
        <w:t xml:space="preserve">Blondel, V. D., Guillaume, J.-L., Lambiotte, R., &amp; Lefebvre, E. (2008). Fast unfolding of communities in large networks. </w:t>
      </w:r>
      <w:r>
        <w:rPr>
          <w:rFonts w:ascii="Calibri" w:cs="Calibri" w:eastAsia="Calibri" w:hAnsi="Calibri"/>
          <w:i/>
          <w:iCs/>
        </w:rPr>
        <w:t xml:space="preserve">Journal of Statistical Mechanics: Theory and Experiment, 2008</w:t>
      </w:r>
      <w:r>
        <w:rPr>
          <w:rFonts w:ascii="Calibri" w:cs="Calibri" w:eastAsia="Calibri" w:hAnsi="Calibri"/>
        </w:rPr>
        <w:t xml:space="preserve">(10), P10008. https://doi.org/10.1088/1742-5468/2008/10/P10008</w:t>
      </w:r>
    </w:p>
    <w:p>
      <w:pPr>
        <w:spacing w:after="120" w:line="360"/>
        <w:ind w:left="720" w:hanging="720"/>
      </w:pPr>
      <w:r>
        <w:rPr>
          <w:rFonts w:ascii="Calibri" w:cs="Calibri" w:eastAsia="Calibri" w:hAnsi="Calibri"/>
        </w:rPr>
        <w:t xml:space="preserve">Bonacich, P. (1987). Power and centrality: A family of measures. </w:t>
      </w:r>
      <w:r>
        <w:rPr>
          <w:rFonts w:ascii="Calibri" w:cs="Calibri" w:eastAsia="Calibri" w:hAnsi="Calibri"/>
          <w:i/>
          <w:iCs/>
        </w:rPr>
        <w:t xml:space="preserve">American Journal of Sociology, 92</w:t>
      </w:r>
      <w:r>
        <w:rPr>
          <w:rFonts w:ascii="Calibri" w:cs="Calibri" w:eastAsia="Calibri" w:hAnsi="Calibri"/>
        </w:rPr>
        <w:t xml:space="preserve">(5), 1170–1182. https://doi.org/10.1086/228631</w:t>
      </w:r>
    </w:p>
    <w:p>
      <w:pPr>
        <w:spacing w:after="120" w:line="360"/>
        <w:ind w:left="720" w:hanging="720"/>
      </w:pPr>
      <w:r>
        <w:rPr>
          <w:rFonts w:ascii="Calibri" w:cs="Calibri" w:eastAsia="Calibri" w:hAnsi="Calibri"/>
        </w:rPr>
        <w:t xml:space="preserve">Burt, R. S. (1992). </w:t>
      </w:r>
      <w:r>
        <w:rPr>
          <w:rFonts w:ascii="Calibri" w:cs="Calibri" w:eastAsia="Calibri" w:hAnsi="Calibri"/>
          <w:i/>
          <w:iCs/>
        </w:rPr>
        <w:t xml:space="preserve">Structural holes: The social structure of competition</w:t>
      </w:r>
      <w:r>
        <w:rPr>
          <w:rFonts w:ascii="Calibri" w:cs="Calibri" w:eastAsia="Calibri" w:hAnsi="Calibri"/>
        </w:rPr>
        <w:t xml:space="preserve">. Harvard University Press.</w:t>
      </w:r>
    </w:p>
    <w:p>
      <w:pPr>
        <w:spacing w:after="120" w:line="360"/>
        <w:ind w:left="720" w:hanging="720"/>
      </w:pPr>
      <w:r>
        <w:rPr>
          <w:rFonts w:ascii="Calibri" w:cs="Calibri" w:eastAsia="Calibri" w:hAnsi="Calibri"/>
        </w:rPr>
        <w:t xml:space="preserve">Freeman, L. C. (1977). A set of measures of centrality based on betweenness. </w:t>
      </w:r>
      <w:r>
        <w:rPr>
          <w:rFonts w:ascii="Calibri" w:cs="Calibri" w:eastAsia="Calibri" w:hAnsi="Calibri"/>
          <w:i/>
          <w:iCs/>
        </w:rPr>
        <w:t xml:space="preserve">Sociometry, 40</w:t>
      </w:r>
      <w:r>
        <w:rPr>
          <w:rFonts w:ascii="Calibri" w:cs="Calibri" w:eastAsia="Calibri" w:hAnsi="Calibri"/>
        </w:rPr>
        <w:t xml:space="preserve">(1), 35–41. https://doi.org/10.2307/3033543</w:t>
      </w:r>
    </w:p>
    <w:p>
      <w:pPr>
        <w:spacing w:after="120" w:line="360"/>
        <w:ind w:left="720" w:hanging="720"/>
      </w:pPr>
      <w:r>
        <w:rPr>
          <w:rFonts w:ascii="Calibri" w:cs="Calibri" w:eastAsia="Calibri" w:hAnsi="Calibri"/>
        </w:rPr>
        <w:t xml:space="preserve">Guimerà, R., &amp; Amaral, L. A. N. (2005). Functional cartography of complex metabolic networks. </w:t>
      </w:r>
      <w:r>
        <w:rPr>
          <w:rFonts w:ascii="Calibri" w:cs="Calibri" w:eastAsia="Calibri" w:hAnsi="Calibri"/>
          <w:i/>
          <w:iCs/>
        </w:rPr>
        <w:t xml:space="preserve">Nature, 433</w:t>
      </w:r>
      <w:r>
        <w:rPr>
          <w:rFonts w:ascii="Calibri" w:cs="Calibri" w:eastAsia="Calibri" w:hAnsi="Calibri"/>
        </w:rPr>
        <w:t xml:space="preserve">(7028), 895–900. https://doi.org/10.1038/nature03288</w:t>
      </w:r>
    </w:p>
    <w:p>
      <w:pPr>
        <w:spacing w:after="120" w:line="360"/>
        <w:ind w:left="720" w:hanging="720"/>
      </w:pPr>
      <w:r>
        <w:rPr>
          <w:rFonts w:ascii="Calibri" w:cs="Calibri" w:eastAsia="Calibri" w:hAnsi="Calibri"/>
        </w:rPr>
        <w:t xml:space="preserve">Kivelä, M., Arenas, A., Barthelemy, M., Gleeson, J. P., Moreno, Y., &amp; Porter, M. A. (2014). Multilayer networks. </w:t>
      </w:r>
      <w:r>
        <w:rPr>
          <w:rFonts w:ascii="Calibri" w:cs="Calibri" w:eastAsia="Calibri" w:hAnsi="Calibri"/>
          <w:i/>
          <w:iCs/>
        </w:rPr>
        <w:t xml:space="preserve">Journal of Complex Networks, 2</w:t>
      </w:r>
      <w:r>
        <w:rPr>
          <w:rFonts w:ascii="Calibri" w:cs="Calibri" w:eastAsia="Calibri" w:hAnsi="Calibri"/>
        </w:rPr>
        <w:t xml:space="preserve">(3), 203–271. https://doi.org/10.1093/comnet/cnu016</w:t>
      </w:r>
    </w:p>
    <w:p>
      <w:pPr>
        <w:spacing w:after="120" w:line="360"/>
        <w:ind w:left="720" w:hanging="720"/>
      </w:pPr>
      <w:r>
        <w:rPr>
          <w:rFonts w:ascii="Calibri" w:cs="Calibri" w:eastAsia="Calibri" w:hAnsi="Calibri"/>
        </w:rPr>
        <w:t xml:space="preserve">Kohavi, R., Tang, D., &amp; Xu, Y. (2020). </w:t>
      </w:r>
      <w:r>
        <w:rPr>
          <w:rFonts w:ascii="Calibri" w:cs="Calibri" w:eastAsia="Calibri" w:hAnsi="Calibri"/>
          <w:i/>
          <w:iCs/>
        </w:rPr>
        <w:t xml:space="preserve">Trustworthy online controlled experiments: A practical guide to A/B testing</w:t>
      </w:r>
      <w:r>
        <w:rPr>
          <w:rFonts w:ascii="Calibri" w:cs="Calibri" w:eastAsia="Calibri" w:hAnsi="Calibri"/>
        </w:rPr>
        <w:t xml:space="preserve">. Cambridge University Press. https://doi.org/10.1017/9781108653985</w:t>
      </w:r>
    </w:p>
    <w:p>
      <w:pPr>
        <w:spacing w:after="120" w:line="360"/>
        <w:ind w:left="720" w:hanging="720"/>
      </w:pPr>
      <w:r>
        <w:rPr>
          <w:rFonts w:ascii="Calibri" w:cs="Calibri" w:eastAsia="Calibri" w:hAnsi="Calibri"/>
        </w:rPr>
        <w:t xml:space="preserve">Newman, M. E. J. (2006). Modularity and community structure in networks. </w:t>
      </w:r>
      <w:r>
        <w:rPr>
          <w:rFonts w:ascii="Calibri" w:cs="Calibri" w:eastAsia="Calibri" w:hAnsi="Calibri"/>
          <w:i/>
          <w:iCs/>
        </w:rPr>
        <w:t xml:space="preserve">Proceedings of the National Academy of Sciences, 103</w:t>
      </w:r>
      <w:r>
        <w:rPr>
          <w:rFonts w:ascii="Calibri" w:cs="Calibri" w:eastAsia="Calibri" w:hAnsi="Calibri"/>
        </w:rPr>
        <w:t xml:space="preserve">(23), 8577–8582. https://doi.org/10.1073/pnas.0601602103</w:t>
      </w:r>
    </w:p>
    <w:p>
      <w:r>
        <w:br w:type="page"/>
      </w:r>
    </w:p>
    <w:p>
      <w:pPr>
        <w:pStyle w:val="Heading1"/>
        <w:keepNext/>
      </w:pPr>
      <w:r>
        <w:rPr>
          <w:rFonts w:ascii="Calibri" w:cs="Calibri" w:eastAsia="Calibri" w:hAnsi="Calibri"/>
        </w:rPr>
        <w:t xml:space="preserve">Appendix A. Network metrics</w:t>
      </w:r>
    </w:p>
    <w:p>
      <w:pPr>
        <w:spacing w:after="160" w:line="360"/>
      </w:pPr>
      <w:r>
        <w:rPr>
          <w:rFonts w:ascii="Calibri" w:cs="Calibri" w:eastAsia="Calibri" w:hAnsi="Calibri"/>
        </w:rPr>
        <w:t xml:space="preserve">All values come from the analysis notebook (</w:t>
      </w:r>
      <w:r>
        <w:rPr>
          <w:rFonts w:ascii="Consolas" w:cs="Consolas" w:eastAsia="Consolas" w:hAnsi="Consolas"/>
          <w:sz w:val="20"/>
          <w:szCs w:val="20"/>
        </w:rPr>
        <w:t xml:space="preserve">week3_analysis.ipynb</w:t>
      </w:r>
      <w:r>
        <w:rPr>
          <w:rFonts w:ascii="Calibri" w:cs="Calibri" w:eastAsia="Calibri" w:hAnsi="Calibri"/>
        </w:rPr>
        <w:t xml:space="preserve">). The graph is undirected and weighted; weighted betweenness uses distance = 1/weight; PageRank uses the directed graph.</w:t>
      </w:r>
    </w:p>
    <w:p>
      <w:pPr>
        <w:keepNext/>
        <w:spacing w:after="80" w:before="120"/>
      </w:pPr>
      <w:r>
        <w:rPr>
          <w:rFonts w:ascii="Calibri" w:cs="Calibri" w:eastAsia="Calibri" w:hAnsi="Calibri"/>
          <w:b/>
          <w:bCs/>
          <w:sz w:val="20"/>
          <w:szCs w:val="20"/>
        </w:rPr>
        <w:t xml:space="preserve">Table A1. Node-level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73"/>
        <w:gridCol w:w="1140"/>
        <w:gridCol w:w="707"/>
        <w:gridCol w:w="599"/>
        <w:gridCol w:w="707"/>
        <w:gridCol w:w="816"/>
        <w:gridCol w:w="1032"/>
        <w:gridCol w:w="924"/>
        <w:gridCol w:w="924"/>
        <w:gridCol w:w="604"/>
      </w:tblGrid>
      <w:tr>
        <w:trPr>
          <w:cantSplit/>
          <w:tblHeader/>
        </w:trPr>
        <w:tc>
          <w:tcPr>
            <w:tcW w:type="dxa" w:w="1573"/>
            <w:tcBorders>
              <w:top w:val="single" w:color="BFBFBF" w:sz="4"/>
              <w:left w:val="single" w:color="BFBFBF" w:sz="4"/>
              <w:bottom w:val="single" w:color="BFBFBF" w:sz="4"/>
              <w:right w:val="single" w:color="BFBFBF" w:sz="4"/>
            </w:tcBorders>
            <w:shd w:fill="E7EEF7" w:color="auto" w:val="clear"/>
            <w:tcMar>
              <w:top w:type="dxa" w:w="40"/>
              <w:left w:type="dxa" w:w="80"/>
              <w:bottom w:type="dxa" w:w="40"/>
              <w:right w:type="dxa" w:w="80"/>
            </w:tcMar>
          </w:tcPr>
          <w:p>
            <w:pPr>
              <w:keepNext/>
            </w:pPr>
            <w:r>
              <w:rPr>
                <w:rFonts w:ascii="Calibri" w:cs="Calibri" w:eastAsia="Calibri" w:hAnsi="Calibri"/>
                <w:b/>
                <w:bCs/>
                <w:sz w:val="15"/>
                <w:szCs w:val="15"/>
              </w:rPr>
              <w:t xml:space="preserve">Influencer</w:t>
            </w:r>
          </w:p>
        </w:tc>
        <w:tc>
          <w:tcPr>
            <w:tcW w:type="dxa" w:w="1140"/>
            <w:tcBorders>
              <w:top w:val="single" w:color="BFBFBF" w:sz="4"/>
              <w:left w:val="single" w:color="BFBFBF" w:sz="4"/>
              <w:bottom w:val="single" w:color="BFBFBF" w:sz="4"/>
              <w:right w:val="single" w:color="BFBFBF" w:sz="4"/>
            </w:tcBorders>
            <w:shd w:fill="E7EEF7" w:color="auto" w:val="clear"/>
            <w:tcMar>
              <w:top w:type="dxa" w:w="40"/>
              <w:left w:type="dxa" w:w="80"/>
              <w:bottom w:type="dxa" w:w="40"/>
              <w:right w:type="dxa" w:w="80"/>
            </w:tcMar>
          </w:tcPr>
          <w:p>
            <w:pPr>
              <w:keepNext/>
            </w:pPr>
            <w:r>
              <w:rPr>
                <w:rFonts w:ascii="Calibri" w:cs="Calibri" w:eastAsia="Calibri" w:hAnsi="Calibri"/>
                <w:b/>
                <w:bCs/>
                <w:sz w:val="15"/>
                <w:szCs w:val="15"/>
              </w:rPr>
              <w:t xml:space="preserve">Platform</w:t>
            </w:r>
          </w:p>
        </w:tc>
        <w:tc>
          <w:tcPr>
            <w:tcW w:type="dxa" w:w="707"/>
            <w:tcBorders>
              <w:top w:val="single" w:color="BFBFBF" w:sz="4"/>
              <w:left w:val="single" w:color="BFBFBF" w:sz="4"/>
              <w:bottom w:val="single" w:color="BFBFBF" w:sz="4"/>
              <w:right w:val="single" w:color="BFBFBF" w:sz="4"/>
            </w:tcBorders>
            <w:shd w:fill="E7EEF7" w:color="auto" w:val="clear"/>
            <w:tcMar>
              <w:top w:type="dxa" w:w="40"/>
              <w:left w:type="dxa" w:w="80"/>
              <w:bottom w:type="dxa" w:w="40"/>
              <w:right w:type="dxa" w:w="80"/>
            </w:tcMar>
          </w:tcPr>
          <w:p>
            <w:pPr>
              <w:keepNext/>
            </w:pPr>
            <w:r>
              <w:rPr>
                <w:rFonts w:ascii="Calibri" w:cs="Calibri" w:eastAsia="Calibri" w:hAnsi="Calibri"/>
                <w:b/>
                <w:bCs/>
                <w:sz w:val="15"/>
                <w:szCs w:val="15"/>
              </w:rPr>
              <w:t xml:space="preserve">Comm.</w:t>
            </w:r>
          </w:p>
        </w:tc>
        <w:tc>
          <w:tcPr>
            <w:tcW w:type="dxa" w:w="599"/>
            <w:tcBorders>
              <w:top w:val="single" w:color="BFBFBF" w:sz="4"/>
              <w:left w:val="single" w:color="BFBFBF" w:sz="4"/>
              <w:bottom w:val="single" w:color="BFBFBF" w:sz="4"/>
              <w:right w:val="single" w:color="BFBFBF" w:sz="4"/>
            </w:tcBorders>
            <w:shd w:fill="E7EEF7" w:color="auto" w:val="clear"/>
            <w:tcMar>
              <w:top w:type="dxa" w:w="40"/>
              <w:left w:type="dxa" w:w="80"/>
              <w:bottom w:type="dxa" w:w="40"/>
              <w:right w:type="dxa" w:w="80"/>
            </w:tcMar>
          </w:tcPr>
          <w:p>
            <w:pPr>
              <w:keepNext/>
            </w:pPr>
            <w:r>
              <w:rPr>
                <w:rFonts w:ascii="Calibri" w:cs="Calibri" w:eastAsia="Calibri" w:hAnsi="Calibri"/>
                <w:b/>
                <w:bCs/>
                <w:sz w:val="15"/>
                <w:szCs w:val="15"/>
              </w:rPr>
              <w:t xml:space="preserve">Deg.</w:t>
            </w:r>
          </w:p>
        </w:tc>
        <w:tc>
          <w:tcPr>
            <w:tcW w:type="dxa" w:w="707"/>
            <w:tcBorders>
              <w:top w:val="single" w:color="BFBFBF" w:sz="4"/>
              <w:left w:val="single" w:color="BFBFBF" w:sz="4"/>
              <w:bottom w:val="single" w:color="BFBFBF" w:sz="4"/>
              <w:right w:val="single" w:color="BFBFBF" w:sz="4"/>
            </w:tcBorders>
            <w:shd w:fill="E7EEF7" w:color="auto" w:val="clear"/>
            <w:tcMar>
              <w:top w:type="dxa" w:w="40"/>
              <w:left w:type="dxa" w:w="80"/>
              <w:bottom w:type="dxa" w:w="40"/>
              <w:right w:type="dxa" w:w="80"/>
            </w:tcMar>
          </w:tcPr>
          <w:p>
            <w:pPr>
              <w:keepNext/>
            </w:pPr>
            <w:r>
              <w:rPr>
                <w:rFonts w:ascii="Calibri" w:cs="Calibri" w:eastAsia="Calibri" w:hAnsi="Calibri"/>
                <w:b/>
                <w:bCs/>
                <w:sz w:val="15"/>
                <w:szCs w:val="15"/>
              </w:rPr>
              <w:t xml:space="preserve">Betw.</w:t>
            </w:r>
          </w:p>
        </w:tc>
        <w:tc>
          <w:tcPr>
            <w:tcW w:type="dxa" w:w="816"/>
            <w:tcBorders>
              <w:top w:val="single" w:color="BFBFBF" w:sz="4"/>
              <w:left w:val="single" w:color="BFBFBF" w:sz="4"/>
              <w:bottom w:val="single" w:color="BFBFBF" w:sz="4"/>
              <w:right w:val="single" w:color="BFBFBF" w:sz="4"/>
            </w:tcBorders>
            <w:shd w:fill="E7EEF7" w:color="auto" w:val="clear"/>
            <w:tcMar>
              <w:top w:type="dxa" w:w="40"/>
              <w:left w:type="dxa" w:w="80"/>
              <w:bottom w:type="dxa" w:w="40"/>
              <w:right w:type="dxa" w:w="80"/>
            </w:tcMar>
          </w:tcPr>
          <w:p>
            <w:pPr>
              <w:keepNext/>
            </w:pPr>
            <w:r>
              <w:rPr>
                <w:rFonts w:ascii="Calibri" w:cs="Calibri" w:eastAsia="Calibri" w:hAnsi="Calibri"/>
                <w:b/>
                <w:bCs/>
                <w:sz w:val="15"/>
                <w:szCs w:val="15"/>
              </w:rPr>
              <w:t xml:space="preserve">Eigen.</w:t>
            </w:r>
          </w:p>
        </w:tc>
        <w:tc>
          <w:tcPr>
            <w:tcW w:type="dxa" w:w="1032"/>
            <w:tcBorders>
              <w:top w:val="single" w:color="BFBFBF" w:sz="4"/>
              <w:left w:val="single" w:color="BFBFBF" w:sz="4"/>
              <w:bottom w:val="single" w:color="BFBFBF" w:sz="4"/>
              <w:right w:val="single" w:color="BFBFBF" w:sz="4"/>
            </w:tcBorders>
            <w:shd w:fill="E7EEF7" w:color="auto" w:val="clear"/>
            <w:tcMar>
              <w:top w:type="dxa" w:w="40"/>
              <w:left w:type="dxa" w:w="80"/>
              <w:bottom w:type="dxa" w:w="40"/>
              <w:right w:type="dxa" w:w="80"/>
            </w:tcMar>
          </w:tcPr>
          <w:p>
            <w:pPr>
              <w:keepNext/>
            </w:pPr>
            <w:r>
              <w:rPr>
                <w:rFonts w:ascii="Calibri" w:cs="Calibri" w:eastAsia="Calibri" w:hAnsi="Calibri"/>
                <w:b/>
                <w:bCs/>
                <w:sz w:val="15"/>
                <w:szCs w:val="15"/>
              </w:rPr>
              <w:t xml:space="preserve">PageRank</w:t>
            </w:r>
          </w:p>
        </w:tc>
        <w:tc>
          <w:tcPr>
            <w:tcW w:type="dxa" w:w="924"/>
            <w:tcBorders>
              <w:top w:val="single" w:color="BFBFBF" w:sz="4"/>
              <w:left w:val="single" w:color="BFBFBF" w:sz="4"/>
              <w:bottom w:val="single" w:color="BFBFBF" w:sz="4"/>
              <w:right w:val="single" w:color="BFBFBF" w:sz="4"/>
            </w:tcBorders>
            <w:shd w:fill="E7EEF7" w:color="auto" w:val="clear"/>
            <w:tcMar>
              <w:top w:type="dxa" w:w="40"/>
              <w:left w:type="dxa" w:w="80"/>
              <w:bottom w:type="dxa" w:w="40"/>
              <w:right w:type="dxa" w:w="80"/>
            </w:tcMar>
          </w:tcPr>
          <w:p>
            <w:pPr>
              <w:keepNext/>
            </w:pPr>
            <w:r>
              <w:rPr>
                <w:rFonts w:ascii="Calibri" w:cs="Calibri" w:eastAsia="Calibri" w:hAnsi="Calibri"/>
                <w:b/>
                <w:bCs/>
                <w:sz w:val="15"/>
                <w:szCs w:val="15"/>
              </w:rPr>
              <w:t xml:space="preserve">Constr.</w:t>
            </w:r>
          </w:p>
        </w:tc>
        <w:tc>
          <w:tcPr>
            <w:tcW w:type="dxa" w:w="924"/>
            <w:tcBorders>
              <w:top w:val="single" w:color="BFBFBF" w:sz="4"/>
              <w:left w:val="single" w:color="BFBFBF" w:sz="4"/>
              <w:bottom w:val="single" w:color="BFBFBF" w:sz="4"/>
              <w:right w:val="single" w:color="BFBFBF" w:sz="4"/>
            </w:tcBorders>
            <w:shd w:fill="E7EEF7" w:color="auto" w:val="clear"/>
            <w:tcMar>
              <w:top w:type="dxa" w:w="40"/>
              <w:left w:type="dxa" w:w="80"/>
              <w:bottom w:type="dxa" w:w="40"/>
              <w:right w:type="dxa" w:w="80"/>
            </w:tcMar>
          </w:tcPr>
          <w:p>
            <w:pPr>
              <w:keepNext/>
            </w:pPr>
            <w:r>
              <w:rPr>
                <w:rFonts w:ascii="Calibri" w:cs="Calibri" w:eastAsia="Calibri" w:hAnsi="Calibri"/>
                <w:b/>
                <w:bCs/>
                <w:sz w:val="15"/>
                <w:szCs w:val="15"/>
              </w:rPr>
              <w:t xml:space="preserve">Partic.</w:t>
            </w:r>
          </w:p>
        </w:tc>
        <w:tc>
          <w:tcPr>
            <w:tcW w:type="dxa" w:w="604"/>
            <w:tcBorders>
              <w:top w:val="single" w:color="BFBFBF" w:sz="4"/>
              <w:left w:val="single" w:color="BFBFBF" w:sz="4"/>
              <w:bottom w:val="single" w:color="BFBFBF" w:sz="4"/>
              <w:right w:val="single" w:color="BFBFBF" w:sz="4"/>
            </w:tcBorders>
            <w:shd w:fill="E7EEF7" w:color="auto" w:val="clear"/>
            <w:tcMar>
              <w:top w:type="dxa" w:w="40"/>
              <w:left w:type="dxa" w:w="80"/>
              <w:bottom w:type="dxa" w:w="40"/>
              <w:right w:type="dxa" w:w="80"/>
            </w:tcMar>
          </w:tcPr>
          <w:p>
            <w:pPr>
              <w:keepNext/>
            </w:pPr>
            <w:r>
              <w:rPr>
                <w:rFonts w:ascii="Calibri" w:cs="Calibri" w:eastAsia="Calibri" w:hAnsi="Calibri"/>
                <w:b/>
                <w:bCs/>
                <w:sz w:val="15"/>
                <w:szCs w:val="15"/>
              </w:rPr>
              <w:t xml:space="preserve">Cut node</w:t>
            </w:r>
          </w:p>
        </w:tc>
      </w:tr>
      <w:tr>
        <w:trPr>
          <w:cantSplit/>
          <w:tblHeader w:val="false"/>
        </w:trPr>
        <w:tc>
          <w:tcPr>
            <w:tcW w:type="dxa" w:w="157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FitSara</w:t>
            </w:r>
          </w:p>
        </w:tc>
        <w:tc>
          <w:tcPr>
            <w:tcW w:type="dxa" w:w="114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Instagram</w:t>
            </w:r>
          </w:p>
        </w:tc>
        <w:tc>
          <w:tcPr>
            <w:tcW w:type="dxa" w:w="70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C1</w:t>
            </w:r>
          </w:p>
        </w:tc>
        <w:tc>
          <w:tcPr>
            <w:tcW w:type="dxa" w:w="599"/>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3</w:t>
            </w:r>
          </w:p>
        </w:tc>
        <w:tc>
          <w:tcPr>
            <w:tcW w:type="dxa" w:w="70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0.72</w:t>
            </w:r>
          </w:p>
        </w:tc>
        <w:tc>
          <w:tcPr>
            <w:tcW w:type="dxa" w:w="816"/>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0.18</w:t>
            </w:r>
          </w:p>
        </w:tc>
        <w:tc>
          <w:tcPr>
            <w:tcW w:type="dxa" w:w="1032"/>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0.03</w:t>
            </w:r>
          </w:p>
        </w:tc>
        <w:tc>
          <w:tcPr>
            <w:tcW w:type="dxa" w:w="92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0.33</w:t>
            </w:r>
          </w:p>
        </w:tc>
        <w:tc>
          <w:tcPr>
            <w:tcW w:type="dxa" w:w="92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0.28</w:t>
            </w:r>
          </w:p>
        </w:tc>
        <w:tc>
          <w:tcPr>
            <w:tcW w:type="dxa" w:w="60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Yes</w:t>
            </w:r>
          </w:p>
        </w:tc>
      </w:tr>
      <w:tr>
        <w:trPr>
          <w:cantSplit/>
          <w:tblHeader w:val="false"/>
        </w:trPr>
        <w:tc>
          <w:tcPr>
            <w:tcW w:type="dxa" w:w="157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TechNova</w:t>
            </w:r>
          </w:p>
        </w:tc>
        <w:tc>
          <w:tcPr>
            <w:tcW w:type="dxa" w:w="114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Instagram</w:t>
            </w:r>
          </w:p>
        </w:tc>
        <w:tc>
          <w:tcPr>
            <w:tcW w:type="dxa" w:w="70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C1</w:t>
            </w:r>
          </w:p>
        </w:tc>
        <w:tc>
          <w:tcPr>
            <w:tcW w:type="dxa" w:w="599"/>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2</w:t>
            </w:r>
          </w:p>
        </w:tc>
        <w:tc>
          <w:tcPr>
            <w:tcW w:type="dxa" w:w="70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0.50</w:t>
            </w:r>
          </w:p>
        </w:tc>
        <w:tc>
          <w:tcPr>
            <w:tcW w:type="dxa" w:w="816"/>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0.23</w:t>
            </w:r>
          </w:p>
        </w:tc>
        <w:tc>
          <w:tcPr>
            <w:tcW w:type="dxa" w:w="1032"/>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0.02</w:t>
            </w:r>
          </w:p>
        </w:tc>
        <w:tc>
          <w:tcPr>
            <w:tcW w:type="dxa" w:w="92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0.50</w:t>
            </w:r>
          </w:p>
        </w:tc>
        <w:tc>
          <w:tcPr>
            <w:tcW w:type="dxa" w:w="92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0.38</w:t>
            </w:r>
          </w:p>
        </w:tc>
        <w:tc>
          <w:tcPr>
            <w:tcW w:type="dxa" w:w="60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Yes</w:t>
            </w:r>
          </w:p>
        </w:tc>
      </w:tr>
      <w:tr>
        <w:trPr>
          <w:cantSplit/>
          <w:tblHeader w:val="false"/>
        </w:trPr>
        <w:tc>
          <w:tcPr>
            <w:tcW w:type="dxa" w:w="157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GadgetGuyX</w:t>
            </w:r>
          </w:p>
        </w:tc>
        <w:tc>
          <w:tcPr>
            <w:tcW w:type="dxa" w:w="114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Twitter</w:t>
            </w:r>
          </w:p>
        </w:tc>
        <w:tc>
          <w:tcPr>
            <w:tcW w:type="dxa" w:w="70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C3</w:t>
            </w:r>
          </w:p>
        </w:tc>
        <w:tc>
          <w:tcPr>
            <w:tcW w:type="dxa" w:w="599"/>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3</w:t>
            </w:r>
          </w:p>
        </w:tc>
        <w:tc>
          <w:tcPr>
            <w:tcW w:type="dxa" w:w="70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0.39</w:t>
            </w:r>
          </w:p>
        </w:tc>
        <w:tc>
          <w:tcPr>
            <w:tcW w:type="dxa" w:w="816"/>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0.61</w:t>
            </w:r>
          </w:p>
        </w:tc>
        <w:tc>
          <w:tcPr>
            <w:tcW w:type="dxa" w:w="1032"/>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0.14</w:t>
            </w:r>
          </w:p>
        </w:tc>
        <w:tc>
          <w:tcPr>
            <w:tcW w:type="dxa" w:w="92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0.61</w:t>
            </w:r>
          </w:p>
        </w:tc>
        <w:tc>
          <w:tcPr>
            <w:tcW w:type="dxa" w:w="92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0.28</w:t>
            </w:r>
          </w:p>
        </w:tc>
        <w:tc>
          <w:tcPr>
            <w:tcW w:type="dxa" w:w="60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Yes</w:t>
            </w:r>
          </w:p>
        </w:tc>
      </w:tr>
      <w:tr>
        <w:trPr>
          <w:cantSplit/>
          <w:tblHeader w:val="false"/>
        </w:trPr>
        <w:tc>
          <w:tcPr>
            <w:tcW w:type="dxa" w:w="157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ProCoach</w:t>
            </w:r>
          </w:p>
        </w:tc>
        <w:tc>
          <w:tcPr>
            <w:tcW w:type="dxa" w:w="114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LinkedIn</w:t>
            </w:r>
          </w:p>
        </w:tc>
        <w:tc>
          <w:tcPr>
            <w:tcW w:type="dxa" w:w="70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C2</w:t>
            </w:r>
          </w:p>
        </w:tc>
        <w:tc>
          <w:tcPr>
            <w:tcW w:type="dxa" w:w="599"/>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3</w:t>
            </w:r>
          </w:p>
        </w:tc>
        <w:tc>
          <w:tcPr>
            <w:tcW w:type="dxa" w:w="70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0.39</w:t>
            </w:r>
          </w:p>
        </w:tc>
        <w:tc>
          <w:tcPr>
            <w:tcW w:type="dxa" w:w="816"/>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0.10</w:t>
            </w:r>
          </w:p>
        </w:tc>
        <w:tc>
          <w:tcPr>
            <w:tcW w:type="dxa" w:w="1032"/>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0.15</w:t>
            </w:r>
          </w:p>
        </w:tc>
        <w:tc>
          <w:tcPr>
            <w:tcW w:type="dxa" w:w="92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0.61</w:t>
            </w:r>
          </w:p>
        </w:tc>
        <w:tc>
          <w:tcPr>
            <w:tcW w:type="dxa" w:w="92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0.28</w:t>
            </w:r>
          </w:p>
        </w:tc>
        <w:tc>
          <w:tcPr>
            <w:tcW w:type="dxa" w:w="60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Yes</w:t>
            </w:r>
          </w:p>
        </w:tc>
      </w:tr>
      <w:tr>
        <w:trPr>
          <w:cantSplit/>
          <w:tblHeader w:val="false"/>
        </w:trPr>
        <w:tc>
          <w:tcPr>
            <w:tcW w:type="dxa" w:w="157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RunSmart</w:t>
            </w:r>
          </w:p>
        </w:tc>
        <w:tc>
          <w:tcPr>
            <w:tcW w:type="dxa" w:w="114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Instagram</w:t>
            </w:r>
          </w:p>
        </w:tc>
        <w:tc>
          <w:tcPr>
            <w:tcW w:type="dxa" w:w="70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C1</w:t>
            </w:r>
          </w:p>
        </w:tc>
        <w:tc>
          <w:tcPr>
            <w:tcW w:type="dxa" w:w="599"/>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2</w:t>
            </w:r>
          </w:p>
        </w:tc>
        <w:tc>
          <w:tcPr>
            <w:tcW w:type="dxa" w:w="70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0.22</w:t>
            </w:r>
          </w:p>
        </w:tc>
        <w:tc>
          <w:tcPr>
            <w:tcW w:type="dxa" w:w="816"/>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0.08</w:t>
            </w:r>
          </w:p>
        </w:tc>
        <w:tc>
          <w:tcPr>
            <w:tcW w:type="dxa" w:w="1032"/>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0.04</w:t>
            </w:r>
          </w:p>
        </w:tc>
        <w:tc>
          <w:tcPr>
            <w:tcW w:type="dxa" w:w="92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0.50</w:t>
            </w:r>
          </w:p>
        </w:tc>
        <w:tc>
          <w:tcPr>
            <w:tcW w:type="dxa" w:w="92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0.00</w:t>
            </w:r>
          </w:p>
        </w:tc>
        <w:tc>
          <w:tcPr>
            <w:tcW w:type="dxa" w:w="60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Yes</w:t>
            </w:r>
          </w:p>
        </w:tc>
      </w:tr>
      <w:tr>
        <w:trPr>
          <w:cantSplit/>
          <w:tblHeader w:val="false"/>
        </w:trPr>
        <w:tc>
          <w:tcPr>
            <w:tcW w:type="dxa" w:w="157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DataDev</w:t>
            </w:r>
          </w:p>
        </w:tc>
        <w:tc>
          <w:tcPr>
            <w:tcW w:type="dxa" w:w="114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Twitter</w:t>
            </w:r>
          </w:p>
        </w:tc>
        <w:tc>
          <w:tcPr>
            <w:tcW w:type="dxa" w:w="70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C3</w:t>
            </w:r>
          </w:p>
        </w:tc>
        <w:tc>
          <w:tcPr>
            <w:tcW w:type="dxa" w:w="599"/>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2</w:t>
            </w:r>
          </w:p>
        </w:tc>
        <w:tc>
          <w:tcPr>
            <w:tcW w:type="dxa" w:w="70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0.00</w:t>
            </w:r>
          </w:p>
        </w:tc>
        <w:tc>
          <w:tcPr>
            <w:tcW w:type="dxa" w:w="816"/>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0.62</w:t>
            </w:r>
          </w:p>
        </w:tc>
        <w:tc>
          <w:tcPr>
            <w:tcW w:type="dxa" w:w="1032"/>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0.14</w:t>
            </w:r>
          </w:p>
        </w:tc>
        <w:tc>
          <w:tcPr>
            <w:tcW w:type="dxa" w:w="92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1.01</w:t>
            </w:r>
          </w:p>
        </w:tc>
        <w:tc>
          <w:tcPr>
            <w:tcW w:type="dxa" w:w="92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0.00</w:t>
            </w:r>
          </w:p>
        </w:tc>
        <w:tc>
          <w:tcPr>
            <w:tcW w:type="dxa" w:w="60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No</w:t>
            </w:r>
          </w:p>
        </w:tc>
      </w:tr>
      <w:tr>
        <w:trPr>
          <w:cantSplit/>
          <w:tblHeader w:val="false"/>
        </w:trPr>
        <w:tc>
          <w:tcPr>
            <w:tcW w:type="dxa" w:w="157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PulseGuru</w:t>
            </w:r>
          </w:p>
        </w:tc>
        <w:tc>
          <w:tcPr>
            <w:tcW w:type="dxa" w:w="114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Twitter</w:t>
            </w:r>
          </w:p>
        </w:tc>
        <w:tc>
          <w:tcPr>
            <w:tcW w:type="dxa" w:w="70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C3</w:t>
            </w:r>
          </w:p>
        </w:tc>
        <w:tc>
          <w:tcPr>
            <w:tcW w:type="dxa" w:w="599"/>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2</w:t>
            </w:r>
          </w:p>
        </w:tc>
        <w:tc>
          <w:tcPr>
            <w:tcW w:type="dxa" w:w="70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0.00</w:t>
            </w:r>
          </w:p>
        </w:tc>
        <w:tc>
          <w:tcPr>
            <w:tcW w:type="dxa" w:w="816"/>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0.37</w:t>
            </w:r>
          </w:p>
        </w:tc>
        <w:tc>
          <w:tcPr>
            <w:tcW w:type="dxa" w:w="1032"/>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0.14</w:t>
            </w:r>
          </w:p>
        </w:tc>
        <w:tc>
          <w:tcPr>
            <w:tcW w:type="dxa" w:w="92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1.01</w:t>
            </w:r>
          </w:p>
        </w:tc>
        <w:tc>
          <w:tcPr>
            <w:tcW w:type="dxa" w:w="92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0.00</w:t>
            </w:r>
          </w:p>
        </w:tc>
        <w:tc>
          <w:tcPr>
            <w:tcW w:type="dxa" w:w="60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No</w:t>
            </w:r>
          </w:p>
        </w:tc>
      </w:tr>
      <w:tr>
        <w:trPr>
          <w:cantSplit/>
          <w:tblHeader w:val="false"/>
        </w:trPr>
        <w:tc>
          <w:tcPr>
            <w:tcW w:type="dxa" w:w="157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HealthInsider</w:t>
            </w:r>
          </w:p>
        </w:tc>
        <w:tc>
          <w:tcPr>
            <w:tcW w:type="dxa" w:w="114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LinkedIn</w:t>
            </w:r>
          </w:p>
        </w:tc>
        <w:tc>
          <w:tcPr>
            <w:tcW w:type="dxa" w:w="70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C2</w:t>
            </w:r>
          </w:p>
        </w:tc>
        <w:tc>
          <w:tcPr>
            <w:tcW w:type="dxa" w:w="599"/>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2</w:t>
            </w:r>
          </w:p>
        </w:tc>
        <w:tc>
          <w:tcPr>
            <w:tcW w:type="dxa" w:w="70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0.00</w:t>
            </w:r>
          </w:p>
        </w:tc>
        <w:tc>
          <w:tcPr>
            <w:tcW w:type="dxa" w:w="816"/>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0.05</w:t>
            </w:r>
          </w:p>
        </w:tc>
        <w:tc>
          <w:tcPr>
            <w:tcW w:type="dxa" w:w="1032"/>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0.15</w:t>
            </w:r>
          </w:p>
        </w:tc>
        <w:tc>
          <w:tcPr>
            <w:tcW w:type="dxa" w:w="92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1.01</w:t>
            </w:r>
          </w:p>
        </w:tc>
        <w:tc>
          <w:tcPr>
            <w:tcW w:type="dxa" w:w="92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0.00</w:t>
            </w:r>
          </w:p>
        </w:tc>
        <w:tc>
          <w:tcPr>
            <w:tcW w:type="dxa" w:w="60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No</w:t>
            </w:r>
          </w:p>
        </w:tc>
      </w:tr>
      <w:tr>
        <w:trPr>
          <w:cantSplit/>
          <w:tblHeader w:val="false"/>
        </w:trPr>
        <w:tc>
          <w:tcPr>
            <w:tcW w:type="dxa" w:w="157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DrWearable</w:t>
            </w:r>
          </w:p>
        </w:tc>
        <w:tc>
          <w:tcPr>
            <w:tcW w:type="dxa" w:w="114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LinkedIn</w:t>
            </w:r>
          </w:p>
        </w:tc>
        <w:tc>
          <w:tcPr>
            <w:tcW w:type="dxa" w:w="70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C2</w:t>
            </w:r>
          </w:p>
        </w:tc>
        <w:tc>
          <w:tcPr>
            <w:tcW w:type="dxa" w:w="599"/>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2</w:t>
            </w:r>
          </w:p>
        </w:tc>
        <w:tc>
          <w:tcPr>
            <w:tcW w:type="dxa" w:w="70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0.00</w:t>
            </w:r>
          </w:p>
        </w:tc>
        <w:tc>
          <w:tcPr>
            <w:tcW w:type="dxa" w:w="816"/>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0.07</w:t>
            </w:r>
          </w:p>
        </w:tc>
        <w:tc>
          <w:tcPr>
            <w:tcW w:type="dxa" w:w="1032"/>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0.15</w:t>
            </w:r>
          </w:p>
        </w:tc>
        <w:tc>
          <w:tcPr>
            <w:tcW w:type="dxa" w:w="92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1.01</w:t>
            </w:r>
          </w:p>
        </w:tc>
        <w:tc>
          <w:tcPr>
            <w:tcW w:type="dxa" w:w="92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0.00</w:t>
            </w:r>
          </w:p>
        </w:tc>
        <w:tc>
          <w:tcPr>
            <w:tcW w:type="dxa" w:w="60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No</w:t>
            </w:r>
          </w:p>
        </w:tc>
      </w:tr>
      <w:tr>
        <w:trPr>
          <w:cantSplit/>
          <w:tblHeader w:val="false"/>
        </w:trPr>
        <w:tc>
          <w:tcPr>
            <w:tcW w:type="dxa" w:w="157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pPr>
            <w:r>
              <w:rPr>
                <w:rFonts w:ascii="Calibri" w:cs="Calibri" w:eastAsia="Calibri" w:hAnsi="Calibri"/>
                <w:sz w:val="15"/>
                <w:szCs w:val="15"/>
              </w:rPr>
              <w:t xml:space="preserve">ZenLife</w:t>
            </w:r>
          </w:p>
        </w:tc>
        <w:tc>
          <w:tcPr>
            <w:tcW w:type="dxa" w:w="114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pPr>
            <w:r>
              <w:rPr>
                <w:rFonts w:ascii="Calibri" w:cs="Calibri" w:eastAsia="Calibri" w:hAnsi="Calibri"/>
                <w:sz w:val="15"/>
                <w:szCs w:val="15"/>
              </w:rPr>
              <w:t xml:space="preserve">Instagram</w:t>
            </w:r>
          </w:p>
        </w:tc>
        <w:tc>
          <w:tcPr>
            <w:tcW w:type="dxa" w:w="70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pPr>
            <w:r>
              <w:rPr>
                <w:rFonts w:ascii="Calibri" w:cs="Calibri" w:eastAsia="Calibri" w:hAnsi="Calibri"/>
                <w:sz w:val="15"/>
                <w:szCs w:val="15"/>
              </w:rPr>
              <w:t xml:space="preserve">C1</w:t>
            </w:r>
          </w:p>
        </w:tc>
        <w:tc>
          <w:tcPr>
            <w:tcW w:type="dxa" w:w="599"/>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pPr>
            <w:r>
              <w:rPr>
                <w:rFonts w:ascii="Calibri" w:cs="Calibri" w:eastAsia="Calibri" w:hAnsi="Calibri"/>
                <w:sz w:val="15"/>
                <w:szCs w:val="15"/>
              </w:rPr>
              <w:t xml:space="preserve">1</w:t>
            </w:r>
          </w:p>
        </w:tc>
        <w:tc>
          <w:tcPr>
            <w:tcW w:type="dxa" w:w="70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pPr>
            <w:r>
              <w:rPr>
                <w:rFonts w:ascii="Calibri" w:cs="Calibri" w:eastAsia="Calibri" w:hAnsi="Calibri"/>
                <w:sz w:val="15"/>
                <w:szCs w:val="15"/>
              </w:rPr>
              <w:t xml:space="preserve">0.00</w:t>
            </w:r>
          </w:p>
        </w:tc>
        <w:tc>
          <w:tcPr>
            <w:tcW w:type="dxa" w:w="816"/>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pPr>
            <w:r>
              <w:rPr>
                <w:rFonts w:ascii="Calibri" w:cs="Calibri" w:eastAsia="Calibri" w:hAnsi="Calibri"/>
                <w:sz w:val="15"/>
                <w:szCs w:val="15"/>
              </w:rPr>
              <w:t xml:space="preserve">0.01</w:t>
            </w:r>
          </w:p>
        </w:tc>
        <w:tc>
          <w:tcPr>
            <w:tcW w:type="dxa" w:w="1032"/>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pPr>
            <w:r>
              <w:rPr>
                <w:rFonts w:ascii="Calibri" w:cs="Calibri" w:eastAsia="Calibri" w:hAnsi="Calibri"/>
                <w:sz w:val="15"/>
                <w:szCs w:val="15"/>
              </w:rPr>
              <w:t xml:space="preserve">0.05</w:t>
            </w:r>
          </w:p>
        </w:tc>
        <w:tc>
          <w:tcPr>
            <w:tcW w:type="dxa" w:w="92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pPr>
            <w:r>
              <w:rPr>
                <w:rFonts w:ascii="Calibri" w:cs="Calibri" w:eastAsia="Calibri" w:hAnsi="Calibri"/>
                <w:sz w:val="15"/>
                <w:szCs w:val="15"/>
              </w:rPr>
              <w:t xml:space="preserve">1.00</w:t>
            </w:r>
          </w:p>
        </w:tc>
        <w:tc>
          <w:tcPr>
            <w:tcW w:type="dxa" w:w="92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pPr>
            <w:r>
              <w:rPr>
                <w:rFonts w:ascii="Calibri" w:cs="Calibri" w:eastAsia="Calibri" w:hAnsi="Calibri"/>
                <w:sz w:val="15"/>
                <w:szCs w:val="15"/>
              </w:rPr>
              <w:t xml:space="preserve">0.00</w:t>
            </w:r>
          </w:p>
        </w:tc>
        <w:tc>
          <w:tcPr>
            <w:tcW w:type="dxa" w:w="60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pPr>
            <w:r>
              <w:rPr>
                <w:rFonts w:ascii="Calibri" w:cs="Calibri" w:eastAsia="Calibri" w:hAnsi="Calibri"/>
                <w:sz w:val="15"/>
                <w:szCs w:val="15"/>
              </w:rPr>
              <w:t xml:space="preserve">No</w:t>
            </w:r>
          </w:p>
        </w:tc>
      </w:tr>
    </w:tbl>
    <w:p>
      <w:pPr>
        <w:spacing w:after="120"/>
      </w:pPr>
    </w:p>
    <w:p>
      <w:pPr>
        <w:spacing w:after="160" w:line="360"/>
      </w:pPr>
      <w:r>
        <w:rPr>
          <w:rFonts w:ascii="Calibri" w:cs="Calibri" w:eastAsia="Calibri" w:hAnsi="Calibri"/>
        </w:rPr>
        <w:t xml:space="preserve">Comm. = Louvain community; Deg. = degree; Betw. = normalised betweenness; Eigen. = weighted eigenvector; Constr. = Burt's constraint (lower = more brokerage); Partic. = participation coefficient (Guimerà &amp; Amaral, 2005), the share of an influencer's tie weight that falls outside their own community; Cut node = articulation point, whose removal disconnects the network.</w:t>
      </w:r>
    </w:p>
    <w:p>
      <w:pPr>
        <w:keepNext/>
        <w:spacing w:before="120"/>
        <w:jc w:val="center"/>
      </w:pPr>
      <w:r>
        <w:drawing>
          <wp:inline distT="0" distB="0" distL="0" distR="0">
            <wp:extent cx="57150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752600"/>
                    </a:xfrm>
                    <a:prstGeom prst="rect">
                      <a:avLst/>
                    </a:prstGeom>
                  </pic:spPr>
                </pic:pic>
              </a:graphicData>
            </a:graphic>
          </wp:inline>
        </w:drawing>
      </w:r>
    </w:p>
    <w:p>
      <w:pPr>
        <w:spacing w:after="200"/>
      </w:pPr>
      <w:r>
        <w:rPr>
          <w:rFonts w:ascii="Calibri" w:cs="Calibri" w:eastAsia="Calibri" w:hAnsi="Calibri"/>
          <w:i/>
          <w:iCs/>
          <w:sz w:val="20"/>
          <w:szCs w:val="20"/>
        </w:rPr>
        <w:t xml:space="preserve">Figure A1. Platform layers shown separately (intra-layer ties only).</w:t>
      </w:r>
    </w:p>
    <w:p>
      <w:pPr>
        <w:keepNext/>
        <w:spacing w:before="120"/>
        <w:jc w:val="center"/>
      </w:pPr>
      <w:r>
        <w:drawing>
          <wp:inline distT="0" distB="0" distL="0" distR="0">
            <wp:extent cx="57150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895475"/>
                    </a:xfrm>
                    <a:prstGeom prst="rect">
                      <a:avLst/>
                    </a:prstGeom>
                  </pic:spPr>
                </pic:pic>
              </a:graphicData>
            </a:graphic>
          </wp:inline>
        </w:drawing>
      </w:r>
    </w:p>
    <w:p>
      <w:pPr>
        <w:spacing w:after="200"/>
      </w:pPr>
      <w:r>
        <w:rPr>
          <w:rFonts w:ascii="Calibri" w:cs="Calibri" w:eastAsia="Calibri" w:hAnsi="Calibri"/>
          <w:i/>
          <w:iCs/>
          <w:sz w:val="20"/>
          <w:szCs w:val="20"/>
        </w:rPr>
        <w:t xml:space="preserve">Figure A2. Degree, betweenness and eigenvector centrality by influencer (colour = home platform).</w:t>
      </w:r>
    </w:p>
    <w:p>
      <w:pPr>
        <w:pStyle w:val="Heading1"/>
        <w:keepNext/>
      </w:pPr>
      <w:r>
        <w:rPr>
          <w:rFonts w:ascii="Calibri" w:cs="Calibri" w:eastAsia="Calibri" w:hAnsi="Calibri"/>
        </w:rPr>
        <w:t xml:space="preserve">Appendix B. Decision matrix detail</w:t>
      </w:r>
    </w:p>
    <w:p>
      <w:pPr>
        <w:spacing w:after="160" w:line="360"/>
      </w:pPr>
      <w:r>
        <w:rPr>
          <w:rFonts w:ascii="Calibri" w:cs="Calibri" w:eastAsia="Calibri" w:hAnsi="Calibri"/>
          <w:b/>
          <w:bCs/>
        </w:rPr>
        <w:t xml:space="preserve">Scoring method.</w:t>
      </w:r>
      <w:r>
        <w:rPr>
          <w:rFonts w:ascii="Calibri" w:cs="Calibri" w:eastAsia="Calibri" w:hAnsi="Calibri"/>
        </w:rPr>
        <w:t xml:space="preserve"> Each criterion was min–max normalised to 0–1 and weighted:</w:t>
      </w:r>
    </w:p>
    <w:p>
      <w:pPr>
        <w:pStyle w:val="ListParagraph"/>
        <w:numPr>
          <w:ilvl w:val="0"/>
          <w:numId w:val="2"/>
        </w:numPr>
        <w:spacing w:after="60" w:line="360"/>
      </w:pPr>
      <w:r>
        <w:rPr>
          <w:rFonts w:ascii="Calibri" w:cs="Calibri" w:eastAsia="Calibri" w:hAnsi="Calibri"/>
        </w:rPr>
        <w:t xml:space="preserve">Reach 15%: followers</w:t>
      </w:r>
    </w:p>
    <w:p>
      <w:pPr>
        <w:pStyle w:val="ListParagraph"/>
        <w:numPr>
          <w:ilvl w:val="0"/>
          <w:numId w:val="2"/>
        </w:numPr>
        <w:spacing w:after="60" w:line="360"/>
      </w:pPr>
      <w:r>
        <w:rPr>
          <w:rFonts w:ascii="Calibri" w:cs="Calibri" w:eastAsia="Calibri" w:hAnsi="Calibri"/>
        </w:rPr>
        <w:t xml:space="preserve">Engagement 15%: engagement rate</w:t>
      </w:r>
    </w:p>
    <w:p>
      <w:pPr>
        <w:pStyle w:val="ListParagraph"/>
        <w:numPr>
          <w:ilvl w:val="0"/>
          <w:numId w:val="2"/>
        </w:numPr>
        <w:spacing w:after="60" w:line="360"/>
      </w:pPr>
      <w:r>
        <w:rPr>
          <w:rFonts w:ascii="Calibri" w:cs="Calibri" w:eastAsia="Calibri" w:hAnsi="Calibri"/>
        </w:rPr>
        <w:t xml:space="preserve">Network influence 20%: mean of eigenvector and PageRank</w:t>
      </w:r>
    </w:p>
    <w:p>
      <w:pPr>
        <w:pStyle w:val="ListParagraph"/>
        <w:numPr>
          <w:ilvl w:val="0"/>
          <w:numId w:val="2"/>
        </w:numPr>
        <w:spacing w:after="60" w:line="360"/>
      </w:pPr>
      <w:r>
        <w:rPr>
          <w:rFonts w:ascii="Calibri" w:cs="Calibri" w:eastAsia="Calibri" w:hAnsi="Calibri"/>
        </w:rPr>
        <w:t xml:space="preserve">Bridging 15%: mean of weighted betweenness and participation coefficient</w:t>
      </w:r>
    </w:p>
    <w:p>
      <w:pPr>
        <w:pStyle w:val="ListParagraph"/>
        <w:numPr>
          <w:ilvl w:val="0"/>
          <w:numId w:val="2"/>
        </w:numPr>
        <w:spacing w:after="60" w:line="360"/>
      </w:pPr>
      <w:r>
        <w:rPr>
          <w:rFonts w:ascii="Calibri" w:cs="Calibri" w:eastAsia="Calibri" w:hAnsi="Calibri"/>
        </w:rPr>
        <w:t xml:space="preserve">Brand fit 20%: judgement score, 1–5</w:t>
      </w:r>
    </w:p>
    <w:p>
      <w:pPr>
        <w:pStyle w:val="ListParagraph"/>
        <w:numPr>
          <w:ilvl w:val="0"/>
          <w:numId w:val="2"/>
        </w:numPr>
        <w:spacing w:after="60" w:line="360"/>
      </w:pPr>
      <w:r>
        <w:rPr>
          <w:rFonts w:ascii="Calibri" w:cs="Calibri" w:eastAsia="Calibri" w:hAnsi="Calibri"/>
        </w:rPr>
        <w:t xml:space="preserve">Cost efficiency 15%: inverted cost per conversion</w:t>
      </w:r>
    </w:p>
    <w:p>
      <w:pPr>
        <w:spacing w:after="160" w:line="360"/>
      </w:pPr>
      <w:r>
        <w:rPr>
          <w:rFonts w:ascii="Calibri" w:cs="Calibri" w:eastAsia="Calibri" w:hAnsi="Calibri"/>
        </w:rPr>
        <w:t xml:space="preserve">Influencers without campaign data were scored as the least cost-efficient. This is a conservative choice that biases against untested influencers, which is why the secondary tier is piloted rather than excluded.</w:t>
      </w:r>
    </w:p>
    <w:p>
      <w:pPr>
        <w:keepNext/>
        <w:spacing w:after="80" w:before="120"/>
      </w:pPr>
      <w:r>
        <w:rPr>
          <w:rFonts w:ascii="Calibri" w:cs="Calibri" w:eastAsia="Calibri" w:hAnsi="Calibri"/>
          <w:b/>
          <w:bCs/>
          <w:sz w:val="20"/>
          <w:szCs w:val="20"/>
        </w:rPr>
        <w:t xml:space="preserve">Table A2. Full decision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97"/>
        <w:gridCol w:w="763"/>
        <w:gridCol w:w="1347"/>
        <w:gridCol w:w="1230"/>
        <w:gridCol w:w="1113"/>
        <w:gridCol w:w="763"/>
        <w:gridCol w:w="1347"/>
        <w:gridCol w:w="766"/>
      </w:tblGrid>
      <w:tr>
        <w:trPr>
          <w:cantSplit/>
          <w:tblHeader/>
        </w:trPr>
        <w:tc>
          <w:tcPr>
            <w:tcW w:type="dxa" w:w="1697"/>
            <w:tcBorders>
              <w:top w:val="single" w:color="BFBFBF" w:sz="4"/>
              <w:left w:val="single" w:color="BFBFBF" w:sz="4"/>
              <w:bottom w:val="single" w:color="BFBFBF" w:sz="4"/>
              <w:right w:val="single" w:color="BFBFBF" w:sz="4"/>
            </w:tcBorders>
            <w:shd w:fill="E7EEF7" w:color="auto" w:val="clear"/>
            <w:tcMar>
              <w:top w:type="dxa" w:w="40"/>
              <w:left w:type="dxa" w:w="80"/>
              <w:bottom w:type="dxa" w:w="40"/>
              <w:right w:type="dxa" w:w="80"/>
            </w:tcMar>
          </w:tcPr>
          <w:p>
            <w:pPr>
              <w:keepNext/>
            </w:pPr>
            <w:r>
              <w:rPr>
                <w:rFonts w:ascii="Calibri" w:cs="Calibri" w:eastAsia="Calibri" w:hAnsi="Calibri"/>
                <w:b/>
                <w:bCs/>
                <w:sz w:val="15"/>
                <w:szCs w:val="15"/>
              </w:rPr>
              <w:t xml:space="preserve">Influencer</w:t>
            </w:r>
          </w:p>
        </w:tc>
        <w:tc>
          <w:tcPr>
            <w:tcW w:type="dxa" w:w="763"/>
            <w:tcBorders>
              <w:top w:val="single" w:color="BFBFBF" w:sz="4"/>
              <w:left w:val="single" w:color="BFBFBF" w:sz="4"/>
              <w:bottom w:val="single" w:color="BFBFBF" w:sz="4"/>
              <w:right w:val="single" w:color="BFBFBF" w:sz="4"/>
            </w:tcBorders>
            <w:shd w:fill="E7EEF7" w:color="auto" w:val="clear"/>
            <w:tcMar>
              <w:top w:type="dxa" w:w="40"/>
              <w:left w:type="dxa" w:w="80"/>
              <w:bottom w:type="dxa" w:w="40"/>
              <w:right w:type="dxa" w:w="80"/>
            </w:tcMar>
          </w:tcPr>
          <w:p>
            <w:pPr>
              <w:keepNext/>
            </w:pPr>
            <w:r>
              <w:rPr>
                <w:rFonts w:ascii="Calibri" w:cs="Calibri" w:eastAsia="Calibri" w:hAnsi="Calibri"/>
                <w:b/>
                <w:bCs/>
                <w:sz w:val="15"/>
                <w:szCs w:val="15"/>
              </w:rPr>
              <w:t xml:space="preserve">Reach</w:t>
            </w:r>
          </w:p>
        </w:tc>
        <w:tc>
          <w:tcPr>
            <w:tcW w:type="dxa" w:w="1347"/>
            <w:tcBorders>
              <w:top w:val="single" w:color="BFBFBF" w:sz="4"/>
              <w:left w:val="single" w:color="BFBFBF" w:sz="4"/>
              <w:bottom w:val="single" w:color="BFBFBF" w:sz="4"/>
              <w:right w:val="single" w:color="BFBFBF" w:sz="4"/>
            </w:tcBorders>
            <w:shd w:fill="E7EEF7" w:color="auto" w:val="clear"/>
            <w:tcMar>
              <w:top w:type="dxa" w:w="40"/>
              <w:left w:type="dxa" w:w="80"/>
              <w:bottom w:type="dxa" w:w="40"/>
              <w:right w:type="dxa" w:w="80"/>
            </w:tcMar>
          </w:tcPr>
          <w:p>
            <w:pPr>
              <w:keepNext/>
            </w:pPr>
            <w:r>
              <w:rPr>
                <w:rFonts w:ascii="Calibri" w:cs="Calibri" w:eastAsia="Calibri" w:hAnsi="Calibri"/>
                <w:b/>
                <w:bCs/>
                <w:sz w:val="15"/>
                <w:szCs w:val="15"/>
              </w:rPr>
              <w:t xml:space="preserve">Engagement</w:t>
            </w:r>
          </w:p>
        </w:tc>
        <w:tc>
          <w:tcPr>
            <w:tcW w:type="dxa" w:w="1230"/>
            <w:tcBorders>
              <w:top w:val="single" w:color="BFBFBF" w:sz="4"/>
              <w:left w:val="single" w:color="BFBFBF" w:sz="4"/>
              <w:bottom w:val="single" w:color="BFBFBF" w:sz="4"/>
              <w:right w:val="single" w:color="BFBFBF" w:sz="4"/>
            </w:tcBorders>
            <w:shd w:fill="E7EEF7" w:color="auto" w:val="clear"/>
            <w:tcMar>
              <w:top w:type="dxa" w:w="40"/>
              <w:left w:type="dxa" w:w="80"/>
              <w:bottom w:type="dxa" w:w="40"/>
              <w:right w:type="dxa" w:w="80"/>
            </w:tcMar>
          </w:tcPr>
          <w:p>
            <w:pPr>
              <w:keepNext/>
            </w:pPr>
            <w:r>
              <w:rPr>
                <w:rFonts w:ascii="Calibri" w:cs="Calibri" w:eastAsia="Calibri" w:hAnsi="Calibri"/>
                <w:b/>
                <w:bCs/>
                <w:sz w:val="15"/>
                <w:szCs w:val="15"/>
              </w:rPr>
              <w:t xml:space="preserve">Network influence</w:t>
            </w:r>
          </w:p>
        </w:tc>
        <w:tc>
          <w:tcPr>
            <w:tcW w:type="dxa" w:w="1113"/>
            <w:tcBorders>
              <w:top w:val="single" w:color="BFBFBF" w:sz="4"/>
              <w:left w:val="single" w:color="BFBFBF" w:sz="4"/>
              <w:bottom w:val="single" w:color="BFBFBF" w:sz="4"/>
              <w:right w:val="single" w:color="BFBFBF" w:sz="4"/>
            </w:tcBorders>
            <w:shd w:fill="E7EEF7" w:color="auto" w:val="clear"/>
            <w:tcMar>
              <w:top w:type="dxa" w:w="40"/>
              <w:left w:type="dxa" w:w="80"/>
              <w:bottom w:type="dxa" w:w="40"/>
              <w:right w:type="dxa" w:w="80"/>
            </w:tcMar>
          </w:tcPr>
          <w:p>
            <w:pPr>
              <w:keepNext/>
            </w:pPr>
            <w:r>
              <w:rPr>
                <w:rFonts w:ascii="Calibri" w:cs="Calibri" w:eastAsia="Calibri" w:hAnsi="Calibri"/>
                <w:b/>
                <w:bCs/>
                <w:sz w:val="15"/>
                <w:szCs w:val="15"/>
              </w:rPr>
              <w:t xml:space="preserve">Bridging</w:t>
            </w:r>
          </w:p>
        </w:tc>
        <w:tc>
          <w:tcPr>
            <w:tcW w:type="dxa" w:w="763"/>
            <w:tcBorders>
              <w:top w:val="single" w:color="BFBFBF" w:sz="4"/>
              <w:left w:val="single" w:color="BFBFBF" w:sz="4"/>
              <w:bottom w:val="single" w:color="BFBFBF" w:sz="4"/>
              <w:right w:val="single" w:color="BFBFBF" w:sz="4"/>
            </w:tcBorders>
            <w:shd w:fill="E7EEF7" w:color="auto" w:val="clear"/>
            <w:tcMar>
              <w:top w:type="dxa" w:w="40"/>
              <w:left w:type="dxa" w:w="80"/>
              <w:bottom w:type="dxa" w:w="40"/>
              <w:right w:type="dxa" w:w="80"/>
            </w:tcMar>
          </w:tcPr>
          <w:p>
            <w:pPr>
              <w:keepNext/>
            </w:pPr>
            <w:r>
              <w:rPr>
                <w:rFonts w:ascii="Calibri" w:cs="Calibri" w:eastAsia="Calibri" w:hAnsi="Calibri"/>
                <w:b/>
                <w:bCs/>
                <w:sz w:val="15"/>
                <w:szCs w:val="15"/>
              </w:rPr>
              <w:t xml:space="preserve">Brand fit</w:t>
            </w:r>
          </w:p>
        </w:tc>
        <w:tc>
          <w:tcPr>
            <w:tcW w:type="dxa" w:w="1347"/>
            <w:tcBorders>
              <w:top w:val="single" w:color="BFBFBF" w:sz="4"/>
              <w:left w:val="single" w:color="BFBFBF" w:sz="4"/>
              <w:bottom w:val="single" w:color="BFBFBF" w:sz="4"/>
              <w:right w:val="single" w:color="BFBFBF" w:sz="4"/>
            </w:tcBorders>
            <w:shd w:fill="E7EEF7" w:color="auto" w:val="clear"/>
            <w:tcMar>
              <w:top w:type="dxa" w:w="40"/>
              <w:left w:type="dxa" w:w="80"/>
              <w:bottom w:type="dxa" w:w="40"/>
              <w:right w:type="dxa" w:w="80"/>
            </w:tcMar>
          </w:tcPr>
          <w:p>
            <w:pPr>
              <w:keepNext/>
            </w:pPr>
            <w:r>
              <w:rPr>
                <w:rFonts w:ascii="Calibri" w:cs="Calibri" w:eastAsia="Calibri" w:hAnsi="Calibri"/>
                <w:b/>
                <w:bCs/>
                <w:sz w:val="15"/>
                <w:szCs w:val="15"/>
              </w:rPr>
              <w:t xml:space="preserve">Cost efficiency</w:t>
            </w:r>
          </w:p>
        </w:tc>
        <w:tc>
          <w:tcPr>
            <w:tcW w:type="dxa" w:w="766"/>
            <w:tcBorders>
              <w:top w:val="single" w:color="BFBFBF" w:sz="4"/>
              <w:left w:val="single" w:color="BFBFBF" w:sz="4"/>
              <w:bottom w:val="single" w:color="BFBFBF" w:sz="4"/>
              <w:right w:val="single" w:color="BFBFBF" w:sz="4"/>
            </w:tcBorders>
            <w:shd w:fill="E7EEF7" w:color="auto" w:val="clear"/>
            <w:tcMar>
              <w:top w:type="dxa" w:w="40"/>
              <w:left w:type="dxa" w:w="80"/>
              <w:bottom w:type="dxa" w:w="40"/>
              <w:right w:type="dxa" w:w="80"/>
            </w:tcMar>
          </w:tcPr>
          <w:p>
            <w:pPr>
              <w:keepNext/>
            </w:pPr>
            <w:r>
              <w:rPr>
                <w:rFonts w:ascii="Calibri" w:cs="Calibri" w:eastAsia="Calibri" w:hAnsi="Calibri"/>
                <w:b/>
                <w:bCs/>
                <w:sz w:val="15"/>
                <w:szCs w:val="15"/>
              </w:rPr>
              <w:t xml:space="preserve">Score /100</w:t>
            </w:r>
          </w:p>
        </w:tc>
      </w:tr>
      <w:tr>
        <w:trPr>
          <w:cantSplit/>
          <w:tblHeader w:val="false"/>
        </w:trPr>
        <w:tc>
          <w:tcPr>
            <w:tcW w:type="dxa" w:w="169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FitSara</w:t>
            </w:r>
          </w:p>
        </w:tc>
        <w:tc>
          <w:tcPr>
            <w:tcW w:type="dxa" w:w="76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.55</w:t>
            </w:r>
          </w:p>
        </w:tc>
        <w:tc>
          <w:tcPr>
            <w:tcW w:type="dxa" w:w="134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.65</w:t>
            </w:r>
          </w:p>
        </w:tc>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.18</w:t>
            </w:r>
          </w:p>
        </w:tc>
        <w:tc>
          <w:tcPr>
            <w:tcW w:type="dxa" w:w="111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.87</w:t>
            </w:r>
          </w:p>
        </w:tc>
        <w:tc>
          <w:tcPr>
            <w:tcW w:type="dxa" w:w="76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1.00</w:t>
            </w:r>
          </w:p>
        </w:tc>
        <w:tc>
          <w:tcPr>
            <w:tcW w:type="dxa" w:w="134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1.00</w:t>
            </w:r>
          </w:p>
        </w:tc>
        <w:tc>
          <w:tcPr>
            <w:tcW w:type="dxa" w:w="766"/>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70</w:t>
            </w:r>
          </w:p>
        </w:tc>
      </w:tr>
      <w:tr>
        <w:trPr>
          <w:cantSplit/>
          <w:tblHeader w:val="false"/>
        </w:trPr>
        <w:tc>
          <w:tcPr>
            <w:tcW w:type="dxa" w:w="169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TechNova</w:t>
            </w:r>
          </w:p>
        </w:tc>
        <w:tc>
          <w:tcPr>
            <w:tcW w:type="dxa" w:w="76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1.00</w:t>
            </w:r>
          </w:p>
        </w:tc>
        <w:tc>
          <w:tcPr>
            <w:tcW w:type="dxa" w:w="134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.29</w:t>
            </w:r>
          </w:p>
        </w:tc>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.18</w:t>
            </w:r>
          </w:p>
        </w:tc>
        <w:tc>
          <w:tcPr>
            <w:tcW w:type="dxa" w:w="111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.85</w:t>
            </w:r>
          </w:p>
        </w:tc>
        <w:tc>
          <w:tcPr>
            <w:tcW w:type="dxa" w:w="76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.67</w:t>
            </w:r>
          </w:p>
        </w:tc>
        <w:tc>
          <w:tcPr>
            <w:tcW w:type="dxa" w:w="134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.85</w:t>
            </w:r>
          </w:p>
        </w:tc>
        <w:tc>
          <w:tcPr>
            <w:tcW w:type="dxa" w:w="766"/>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62</w:t>
            </w:r>
          </w:p>
        </w:tc>
      </w:tr>
      <w:tr>
        <w:trPr>
          <w:cantSplit/>
          <w:tblHeader w:val="false"/>
        </w:trPr>
        <w:tc>
          <w:tcPr>
            <w:tcW w:type="dxa" w:w="169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RunSmart</w:t>
            </w:r>
          </w:p>
        </w:tc>
        <w:tc>
          <w:tcPr>
            <w:tcW w:type="dxa" w:w="76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.36</w:t>
            </w:r>
          </w:p>
        </w:tc>
        <w:tc>
          <w:tcPr>
            <w:tcW w:type="dxa" w:w="134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.53</w:t>
            </w:r>
          </w:p>
        </w:tc>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.12</w:t>
            </w:r>
          </w:p>
        </w:tc>
        <w:tc>
          <w:tcPr>
            <w:tcW w:type="dxa" w:w="111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.15</w:t>
            </w:r>
          </w:p>
        </w:tc>
        <w:tc>
          <w:tcPr>
            <w:tcW w:type="dxa" w:w="76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1.00</w:t>
            </w:r>
          </w:p>
        </w:tc>
        <w:tc>
          <w:tcPr>
            <w:tcW w:type="dxa" w:w="134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.92</w:t>
            </w:r>
          </w:p>
        </w:tc>
        <w:tc>
          <w:tcPr>
            <w:tcW w:type="dxa" w:w="766"/>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52</w:t>
            </w:r>
          </w:p>
        </w:tc>
      </w:tr>
      <w:tr>
        <w:trPr>
          <w:cantSplit/>
          <w:tblHeader w:val="false"/>
        </w:trPr>
        <w:tc>
          <w:tcPr>
            <w:tcW w:type="dxa" w:w="169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HealthInsider</w:t>
            </w:r>
          </w:p>
        </w:tc>
        <w:tc>
          <w:tcPr>
            <w:tcW w:type="dxa" w:w="76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.33</w:t>
            </w:r>
          </w:p>
        </w:tc>
        <w:tc>
          <w:tcPr>
            <w:tcW w:type="dxa" w:w="134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.23</w:t>
            </w:r>
          </w:p>
        </w:tc>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.52</w:t>
            </w:r>
          </w:p>
        </w:tc>
        <w:tc>
          <w:tcPr>
            <w:tcW w:type="dxa" w:w="111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.00</w:t>
            </w:r>
          </w:p>
        </w:tc>
        <w:tc>
          <w:tcPr>
            <w:tcW w:type="dxa" w:w="76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1.00</w:t>
            </w:r>
          </w:p>
        </w:tc>
        <w:tc>
          <w:tcPr>
            <w:tcW w:type="dxa" w:w="134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.00</w:t>
            </w:r>
          </w:p>
        </w:tc>
        <w:tc>
          <w:tcPr>
            <w:tcW w:type="dxa" w:w="766"/>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39</w:t>
            </w:r>
          </w:p>
        </w:tc>
      </w:tr>
      <w:tr>
        <w:trPr>
          <w:cantSplit/>
          <w:tblHeader w:val="false"/>
        </w:trPr>
        <w:tc>
          <w:tcPr>
            <w:tcW w:type="dxa" w:w="169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ProCoach</w:t>
            </w:r>
          </w:p>
        </w:tc>
        <w:tc>
          <w:tcPr>
            <w:tcW w:type="dxa" w:w="76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.09</w:t>
            </w:r>
          </w:p>
        </w:tc>
        <w:tc>
          <w:tcPr>
            <w:tcW w:type="dxa" w:w="134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.15</w:t>
            </w:r>
          </w:p>
        </w:tc>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.57</w:t>
            </w:r>
          </w:p>
        </w:tc>
        <w:tc>
          <w:tcPr>
            <w:tcW w:type="dxa" w:w="111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.66</w:t>
            </w:r>
          </w:p>
        </w:tc>
        <w:tc>
          <w:tcPr>
            <w:tcW w:type="dxa" w:w="76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.67</w:t>
            </w:r>
          </w:p>
        </w:tc>
        <w:tc>
          <w:tcPr>
            <w:tcW w:type="dxa" w:w="134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.00</w:t>
            </w:r>
          </w:p>
        </w:tc>
        <w:tc>
          <w:tcPr>
            <w:tcW w:type="dxa" w:w="766"/>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38</w:t>
            </w:r>
          </w:p>
        </w:tc>
      </w:tr>
      <w:tr>
        <w:trPr>
          <w:cantSplit/>
          <w:tblHeader w:val="false"/>
        </w:trPr>
        <w:tc>
          <w:tcPr>
            <w:tcW w:type="dxa" w:w="169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ZenLife</w:t>
            </w:r>
          </w:p>
        </w:tc>
        <w:tc>
          <w:tcPr>
            <w:tcW w:type="dxa" w:w="76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.08</w:t>
            </w:r>
          </w:p>
        </w:tc>
        <w:tc>
          <w:tcPr>
            <w:tcW w:type="dxa" w:w="134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1.00</w:t>
            </w:r>
          </w:p>
        </w:tc>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.12</w:t>
            </w:r>
          </w:p>
        </w:tc>
        <w:tc>
          <w:tcPr>
            <w:tcW w:type="dxa" w:w="111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.00</w:t>
            </w:r>
          </w:p>
        </w:tc>
        <w:tc>
          <w:tcPr>
            <w:tcW w:type="dxa" w:w="76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.33</w:t>
            </w:r>
          </w:p>
        </w:tc>
        <w:tc>
          <w:tcPr>
            <w:tcW w:type="dxa" w:w="134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.71</w:t>
            </w:r>
          </w:p>
        </w:tc>
        <w:tc>
          <w:tcPr>
            <w:tcW w:type="dxa" w:w="766"/>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36</w:t>
            </w:r>
          </w:p>
        </w:tc>
      </w:tr>
      <w:tr>
        <w:trPr>
          <w:cantSplit/>
          <w:tblHeader w:val="false"/>
        </w:trPr>
        <w:tc>
          <w:tcPr>
            <w:tcW w:type="dxa" w:w="169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DataDev</w:t>
            </w:r>
          </w:p>
        </w:tc>
        <w:tc>
          <w:tcPr>
            <w:tcW w:type="dxa" w:w="76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.00</w:t>
            </w:r>
          </w:p>
        </w:tc>
        <w:tc>
          <w:tcPr>
            <w:tcW w:type="dxa" w:w="134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.29</w:t>
            </w:r>
          </w:p>
        </w:tc>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.95</w:t>
            </w:r>
          </w:p>
        </w:tc>
        <w:tc>
          <w:tcPr>
            <w:tcW w:type="dxa" w:w="111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.15</w:t>
            </w:r>
          </w:p>
        </w:tc>
        <w:tc>
          <w:tcPr>
            <w:tcW w:type="dxa" w:w="76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.33</w:t>
            </w:r>
          </w:p>
        </w:tc>
        <w:tc>
          <w:tcPr>
            <w:tcW w:type="dxa" w:w="134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.00</w:t>
            </w:r>
          </w:p>
        </w:tc>
        <w:tc>
          <w:tcPr>
            <w:tcW w:type="dxa" w:w="766"/>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32</w:t>
            </w:r>
          </w:p>
        </w:tc>
      </w:tr>
      <w:tr>
        <w:trPr>
          <w:cantSplit/>
          <w:tblHeader w:val="false"/>
        </w:trPr>
        <w:tc>
          <w:tcPr>
            <w:tcW w:type="dxa" w:w="169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GadgetGuyX</w:t>
            </w:r>
          </w:p>
        </w:tc>
        <w:tc>
          <w:tcPr>
            <w:tcW w:type="dxa" w:w="76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.18</w:t>
            </w:r>
          </w:p>
        </w:tc>
        <w:tc>
          <w:tcPr>
            <w:tcW w:type="dxa" w:w="134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.00</w:t>
            </w:r>
          </w:p>
        </w:tc>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.94</w:t>
            </w:r>
          </w:p>
        </w:tc>
        <w:tc>
          <w:tcPr>
            <w:tcW w:type="dxa" w:w="111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.64</w:t>
            </w:r>
          </w:p>
        </w:tc>
        <w:tc>
          <w:tcPr>
            <w:tcW w:type="dxa" w:w="76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.00</w:t>
            </w:r>
          </w:p>
        </w:tc>
        <w:tc>
          <w:tcPr>
            <w:tcW w:type="dxa" w:w="134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.00</w:t>
            </w:r>
          </w:p>
        </w:tc>
        <w:tc>
          <w:tcPr>
            <w:tcW w:type="dxa" w:w="766"/>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31</w:t>
            </w:r>
          </w:p>
        </w:tc>
      </w:tr>
      <w:tr>
        <w:trPr>
          <w:cantSplit/>
          <w:tblHeader w:val="false"/>
        </w:trPr>
        <w:tc>
          <w:tcPr>
            <w:tcW w:type="dxa" w:w="169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PulseGuru</w:t>
            </w:r>
          </w:p>
        </w:tc>
        <w:tc>
          <w:tcPr>
            <w:tcW w:type="dxa" w:w="76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.03</w:t>
            </w:r>
          </w:p>
        </w:tc>
        <w:tc>
          <w:tcPr>
            <w:tcW w:type="dxa" w:w="134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.18</w:t>
            </w:r>
          </w:p>
        </w:tc>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.73</w:t>
            </w:r>
          </w:p>
        </w:tc>
        <w:tc>
          <w:tcPr>
            <w:tcW w:type="dxa" w:w="111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.00</w:t>
            </w:r>
          </w:p>
        </w:tc>
        <w:tc>
          <w:tcPr>
            <w:tcW w:type="dxa" w:w="76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.67</w:t>
            </w:r>
          </w:p>
        </w:tc>
        <w:tc>
          <w:tcPr>
            <w:tcW w:type="dxa" w:w="134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.00</w:t>
            </w:r>
          </w:p>
        </w:tc>
        <w:tc>
          <w:tcPr>
            <w:tcW w:type="dxa" w:w="766"/>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5"/>
                <w:szCs w:val="15"/>
              </w:rPr>
              <w:t xml:space="preserve">31</w:t>
            </w:r>
          </w:p>
        </w:tc>
      </w:tr>
      <w:tr>
        <w:trPr>
          <w:cantSplit/>
          <w:tblHeader w:val="false"/>
        </w:trPr>
        <w:tc>
          <w:tcPr>
            <w:tcW w:type="dxa" w:w="169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pPr>
            <w:r>
              <w:rPr>
                <w:rFonts w:ascii="Calibri" w:cs="Calibri" w:eastAsia="Calibri" w:hAnsi="Calibri"/>
                <w:sz w:val="15"/>
                <w:szCs w:val="15"/>
              </w:rPr>
              <w:t xml:space="preserve">DrWearable</w:t>
            </w:r>
          </w:p>
        </w:tc>
        <w:tc>
          <w:tcPr>
            <w:tcW w:type="dxa" w:w="76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pPr>
            <w:r>
              <w:rPr>
                <w:rFonts w:ascii="Calibri" w:cs="Calibri" w:eastAsia="Calibri" w:hAnsi="Calibri"/>
                <w:sz w:val="15"/>
                <w:szCs w:val="15"/>
              </w:rPr>
              <w:t xml:space="preserve">.27</w:t>
            </w:r>
          </w:p>
        </w:tc>
        <w:tc>
          <w:tcPr>
            <w:tcW w:type="dxa" w:w="134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pPr>
            <w:r>
              <w:rPr>
                <w:rFonts w:ascii="Calibri" w:cs="Calibri" w:eastAsia="Calibri" w:hAnsi="Calibri"/>
                <w:sz w:val="15"/>
                <w:szCs w:val="15"/>
              </w:rPr>
              <w:t xml:space="preserve">.03</w:t>
            </w:r>
          </w:p>
        </w:tc>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pPr>
            <w:r>
              <w:rPr>
                <w:rFonts w:ascii="Calibri" w:cs="Calibri" w:eastAsia="Calibri" w:hAnsi="Calibri"/>
                <w:sz w:val="15"/>
                <w:szCs w:val="15"/>
              </w:rPr>
              <w:t xml:space="preserve">.52</w:t>
            </w:r>
          </w:p>
        </w:tc>
        <w:tc>
          <w:tcPr>
            <w:tcW w:type="dxa" w:w="111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pPr>
            <w:r>
              <w:rPr>
                <w:rFonts w:ascii="Calibri" w:cs="Calibri" w:eastAsia="Calibri" w:hAnsi="Calibri"/>
                <w:sz w:val="15"/>
                <w:szCs w:val="15"/>
              </w:rPr>
              <w:t xml:space="preserve">.00</w:t>
            </w:r>
          </w:p>
        </w:tc>
        <w:tc>
          <w:tcPr>
            <w:tcW w:type="dxa" w:w="76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pPr>
            <w:r>
              <w:rPr>
                <w:rFonts w:ascii="Calibri" w:cs="Calibri" w:eastAsia="Calibri" w:hAnsi="Calibri"/>
                <w:sz w:val="15"/>
                <w:szCs w:val="15"/>
              </w:rPr>
              <w:t xml:space="preserve">.67</w:t>
            </w:r>
          </w:p>
        </w:tc>
        <w:tc>
          <w:tcPr>
            <w:tcW w:type="dxa" w:w="134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pPr>
            <w:r>
              <w:rPr>
                <w:rFonts w:ascii="Calibri" w:cs="Calibri" w:eastAsia="Calibri" w:hAnsi="Calibri"/>
                <w:sz w:val="15"/>
                <w:szCs w:val="15"/>
              </w:rPr>
              <w:t xml:space="preserve">.07</w:t>
            </w:r>
          </w:p>
        </w:tc>
        <w:tc>
          <w:tcPr>
            <w:tcW w:type="dxa" w:w="766"/>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pPr>
            <w:r>
              <w:rPr>
                <w:rFonts w:ascii="Calibri" w:cs="Calibri" w:eastAsia="Calibri" w:hAnsi="Calibri"/>
                <w:sz w:val="15"/>
                <w:szCs w:val="15"/>
              </w:rPr>
              <w:t xml:space="preserve">29</w:t>
            </w:r>
          </w:p>
        </w:tc>
      </w:tr>
    </w:tbl>
    <w:p>
      <w:pPr>
        <w:spacing w:after="120"/>
      </w:pPr>
    </w:p>
    <w:p>
      <w:pPr>
        <w:spacing w:after="160" w:line="360"/>
      </w:pPr>
      <w:r>
        <w:rPr>
          <w:rFonts w:ascii="Calibri" w:cs="Calibri" w:eastAsia="Calibri" w:hAnsi="Calibri"/>
          <w:b/>
          <w:bCs/>
        </w:rPr>
        <w:t xml:space="preserve">Sensitivity analysis.</w:t>
      </w:r>
      <w:r>
        <w:rPr>
          <w:rFonts w:ascii="Calibri" w:cs="Calibri" w:eastAsia="Calibri" w:hAnsi="Calibri"/>
        </w:rPr>
        <w:t xml:space="preserve"> Three alternative weightings were tested:</w:t>
      </w:r>
    </w:p>
    <w:p>
      <w:pPr>
        <w:pStyle w:val="ListParagraph"/>
        <w:numPr>
          <w:ilvl w:val="0"/>
          <w:numId w:val="2"/>
        </w:numPr>
        <w:spacing w:after="60" w:line="360"/>
      </w:pPr>
      <w:r>
        <w:rPr>
          <w:rFonts w:ascii="Calibri" w:cs="Calibri" w:eastAsia="Calibri" w:hAnsi="Calibri"/>
        </w:rPr>
        <w:t xml:space="preserve">brand fit 30% with network influence 10%</w:t>
      </w:r>
    </w:p>
    <w:p>
      <w:pPr>
        <w:pStyle w:val="ListParagraph"/>
        <w:numPr>
          <w:ilvl w:val="0"/>
          <w:numId w:val="2"/>
        </w:numPr>
        <w:spacing w:after="60" w:line="360"/>
      </w:pPr>
      <w:r>
        <w:rPr>
          <w:rFonts w:ascii="Calibri" w:cs="Calibri" w:eastAsia="Calibri" w:hAnsi="Calibri"/>
        </w:rPr>
        <w:t xml:space="preserve">bridging 25% with reach and engagement at 10% each</w:t>
      </w:r>
    </w:p>
    <w:p>
      <w:pPr>
        <w:pStyle w:val="ListParagraph"/>
        <w:numPr>
          <w:ilvl w:val="0"/>
          <w:numId w:val="2"/>
        </w:numPr>
        <w:spacing w:after="60" w:line="360"/>
      </w:pPr>
      <w:r>
        <w:rPr>
          <w:rFonts w:ascii="Calibri" w:cs="Calibri" w:eastAsia="Calibri" w:hAnsi="Calibri"/>
        </w:rPr>
        <w:t xml:space="preserve">reach 25%</w:t>
      </w:r>
    </w:p>
    <w:p>
      <w:pPr>
        <w:spacing w:after="160" w:line="360"/>
      </w:pPr>
      <w:r>
        <w:rPr>
          <w:rFonts w:ascii="Calibri" w:cs="Calibri" w:eastAsia="Calibri" w:hAnsi="Calibri"/>
        </w:rPr>
        <w:t xml:space="preserve">FitSara, TechNova and RunSmart stay first to third in all three. Only the secondary slots change: GadgetGuyX enters the top five when bridging is weighted most heavily.</w:t>
      </w:r>
    </w:p>
    <w:p>
      <w:pPr>
        <w:keepNext/>
        <w:spacing w:before="120"/>
        <w:jc w:val="center"/>
      </w:pPr>
      <w:r>
        <w:drawing>
          <wp:inline distT="0" distB="0" distL="0" distR="0">
            <wp:extent cx="5334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371725"/>
                    </a:xfrm>
                    <a:prstGeom prst="rect">
                      <a:avLst/>
                    </a:prstGeom>
                  </pic:spPr>
                </pic:pic>
              </a:graphicData>
            </a:graphic>
          </wp:inline>
        </w:drawing>
      </w:r>
    </w:p>
    <w:p>
      <w:pPr>
        <w:spacing w:after="200"/>
      </w:pPr>
      <w:r>
        <w:rPr>
          <w:rFonts w:ascii="Calibri" w:cs="Calibri" w:eastAsia="Calibri" w:hAnsi="Calibri"/>
          <w:i/>
          <w:iCs/>
          <w:sz w:val="20"/>
          <w:szCs w:val="20"/>
        </w:rPr>
        <w:t xml:space="preserve">Figure A3. Estimated cost per conversion by influencer and content format.</w:t>
      </w:r>
    </w:p>
    <w:p>
      <w:pPr>
        <w:keepNext/>
        <w:spacing w:before="12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857500"/>
                    </a:xfrm>
                    <a:prstGeom prst="rect">
                      <a:avLst/>
                    </a:prstGeom>
                  </pic:spPr>
                </pic:pic>
              </a:graphicData>
            </a:graphic>
          </wp:inline>
        </w:drawing>
      </w:r>
    </w:p>
    <w:p>
      <w:pPr>
        <w:spacing w:after="200"/>
      </w:pPr>
      <w:r>
        <w:rPr>
          <w:rFonts w:ascii="Calibri" w:cs="Calibri" w:eastAsia="Calibri" w:hAnsi="Calibri"/>
          <w:i/>
          <w:iCs/>
          <w:sz w:val="20"/>
          <w:szCs w:val="20"/>
        </w:rPr>
        <w:t xml:space="preserve">Figure A4. Decision-matrix criterion scores (overall suitability in brackets).</w:t>
      </w:r>
    </w:p>
    <w:p>
      <w:pPr>
        <w:pStyle w:val="Heading1"/>
        <w:keepNext/>
      </w:pPr>
      <w:r>
        <w:rPr>
          <w:rFonts w:ascii="Calibri" w:cs="Calibri" w:eastAsia="Calibri" w:hAnsi="Calibri"/>
        </w:rPr>
        <w:t xml:space="preserve">Appendix C. A/B test statistics</w:t>
      </w:r>
    </w:p>
    <w:p>
      <w:pPr>
        <w:spacing w:after="160" w:line="360"/>
      </w:pPr>
      <w:r>
        <w:rPr>
          <w:rFonts w:ascii="Calibri" w:cs="Calibri" w:eastAsia="Calibri" w:hAnsi="Calibri"/>
          <w:b/>
          <w:bCs/>
        </w:rPr>
        <w:t xml:space="preserve">Sample size formula (two proportions).</w:t>
      </w:r>
    </w:p>
    <w:p>
      <w:pPr>
        <w:spacing w:after="160" w:before="60"/>
        <w:jc w:val="center"/>
      </w:pPr>
      <w:r>
        <w:rPr>
          <w:rFonts w:ascii="Consolas" w:cs="Consolas" w:eastAsia="Consolas" w:hAnsi="Consolas"/>
          <w:sz w:val="20"/>
          <w:szCs w:val="20"/>
        </w:rPr>
        <w:t xml:space="preserve">n = [z(1−α/2)·√(2p̄(1−p̄)) + z(1−β)·√(p1(1−p1) + p2(1−p2))]² / (p2 − p1)²</w:t>
      </w:r>
    </w:p>
    <w:p>
      <w:pPr>
        <w:spacing w:after="160" w:line="360"/>
      </w:pPr>
      <w:r>
        <w:rPr>
          <w:rFonts w:ascii="Calibri" w:cs="Calibri" w:eastAsia="Calibri" w:hAnsi="Calibri"/>
        </w:rPr>
        <w:t xml:space="preserve">The baseline p1 = 1.48% is the pooled click-to-purchase rate across current campaigns; α = 0.05 (two-sided) and power = 0.80.</w:t>
      </w:r>
    </w:p>
    <w:p>
      <w:pPr>
        <w:keepNext/>
        <w:spacing w:after="80" w:before="120"/>
      </w:pPr>
      <w:r>
        <w:rPr>
          <w:rFonts w:ascii="Calibri" w:cs="Calibri" w:eastAsia="Calibri" w:hAnsi="Calibri"/>
          <w:b/>
          <w:bCs/>
          <w:sz w:val="20"/>
          <w:szCs w:val="20"/>
        </w:rPr>
        <w:t xml:space="preserve">Table A3. Clicks needed per arm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45"/>
        <w:gridCol w:w="2454"/>
        <w:gridCol w:w="3727"/>
      </w:tblGrid>
      <w:tr>
        <w:trPr>
          <w:cantSplit/>
          <w:tblHeader/>
        </w:trPr>
        <w:tc>
          <w:tcPr>
            <w:tcW w:type="dxa" w:w="2845"/>
            <w:tcBorders>
              <w:top w:val="single" w:color="BFBFBF" w:sz="4"/>
              <w:left w:val="single" w:color="BFBFBF" w:sz="4"/>
              <w:bottom w:val="single" w:color="BFBFBF" w:sz="4"/>
              <w:right w:val="single" w:color="BFBFBF" w:sz="4"/>
            </w:tcBorders>
            <w:shd w:fill="E7EEF7" w:color="auto" w:val="clear"/>
            <w:tcMar>
              <w:top w:type="dxa" w:w="40"/>
              <w:left w:type="dxa" w:w="80"/>
              <w:bottom w:type="dxa" w:w="40"/>
              <w:right w:type="dxa" w:w="80"/>
            </w:tcMar>
          </w:tcPr>
          <w:p>
            <w:pPr>
              <w:keepNext/>
            </w:pPr>
            <w:r>
              <w:rPr>
                <w:rFonts w:ascii="Calibri" w:cs="Calibri" w:eastAsia="Calibri" w:hAnsi="Calibri"/>
                <w:b/>
                <w:bCs/>
                <w:sz w:val="18"/>
                <w:szCs w:val="18"/>
              </w:rPr>
              <w:t xml:space="preserve">Minimum detectable lift</w:t>
            </w:r>
          </w:p>
        </w:tc>
        <w:tc>
          <w:tcPr>
            <w:tcW w:type="dxa" w:w="2454"/>
            <w:tcBorders>
              <w:top w:val="single" w:color="BFBFBF" w:sz="4"/>
              <w:left w:val="single" w:color="BFBFBF" w:sz="4"/>
              <w:bottom w:val="single" w:color="BFBFBF" w:sz="4"/>
              <w:right w:val="single" w:color="BFBFBF" w:sz="4"/>
            </w:tcBorders>
            <w:shd w:fill="E7EEF7" w:color="auto" w:val="clear"/>
            <w:tcMar>
              <w:top w:type="dxa" w:w="40"/>
              <w:left w:type="dxa" w:w="80"/>
              <w:bottom w:type="dxa" w:w="40"/>
              <w:right w:type="dxa" w:w="80"/>
            </w:tcMar>
          </w:tcPr>
          <w:p>
            <w:pPr>
              <w:keepNext/>
            </w:pPr>
            <w:r>
              <w:rPr>
                <w:rFonts w:ascii="Calibri" w:cs="Calibri" w:eastAsia="Calibri" w:hAnsi="Calibri"/>
                <w:b/>
                <w:bCs/>
                <w:sz w:val="18"/>
                <w:szCs w:val="18"/>
              </w:rPr>
              <w:t xml:space="preserve">Independent clicks</w:t>
            </w:r>
          </w:p>
        </w:tc>
        <w:tc>
          <w:tcPr>
            <w:tcW w:type="dxa" w:w="3727"/>
            <w:tcBorders>
              <w:top w:val="single" w:color="BFBFBF" w:sz="4"/>
              <w:left w:val="single" w:color="BFBFBF" w:sz="4"/>
              <w:bottom w:val="single" w:color="BFBFBF" w:sz="4"/>
              <w:right w:val="single" w:color="BFBFBF" w:sz="4"/>
            </w:tcBorders>
            <w:shd w:fill="E7EEF7" w:color="auto" w:val="clear"/>
            <w:tcMar>
              <w:top w:type="dxa" w:w="40"/>
              <w:left w:type="dxa" w:w="80"/>
              <w:bottom w:type="dxa" w:w="40"/>
              <w:right w:type="dxa" w:w="80"/>
            </w:tcMar>
          </w:tcPr>
          <w:p>
            <w:pPr>
              <w:keepNext/>
            </w:pPr>
            <w:r>
              <w:rPr>
                <w:rFonts w:ascii="Calibri" w:cs="Calibri" w:eastAsia="Calibri" w:hAnsi="Calibri"/>
                <w:b/>
                <w:bCs/>
                <w:sz w:val="18"/>
                <w:szCs w:val="18"/>
              </w:rPr>
              <w:t xml:space="preserve">With clustering (ICC = 0.01, ~2,000 clicks per post, design effect ≈ 21)</w:t>
            </w:r>
          </w:p>
        </w:tc>
      </w:tr>
      <w:tr>
        <w:trPr>
          <w:cantSplit/>
          <w:tblHeader w:val="false"/>
        </w:trPr>
        <w:tc>
          <w:tcPr>
            <w:tcW w:type="dxa" w:w="2845"/>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+20%</w:t>
            </w:r>
          </w:p>
        </w:tc>
        <w:tc>
          <w:tcPr>
            <w:tcW w:type="dxa" w:w="245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28,651</w:t>
            </w:r>
          </w:p>
        </w:tc>
        <w:tc>
          <w:tcPr>
            <w:tcW w:type="dxa" w:w="372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 601,000</w:t>
            </w:r>
          </w:p>
        </w:tc>
      </w:tr>
      <w:tr>
        <w:trPr>
          <w:cantSplit/>
          <w:tblHeader w:val="false"/>
        </w:trPr>
        <w:tc>
          <w:tcPr>
            <w:tcW w:type="dxa" w:w="2845"/>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+30% (recommended)</w:t>
            </w:r>
          </w:p>
        </w:tc>
        <w:tc>
          <w:tcPr>
            <w:tcW w:type="dxa" w:w="245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13,302</w:t>
            </w:r>
          </w:p>
        </w:tc>
        <w:tc>
          <w:tcPr>
            <w:tcW w:type="dxa" w:w="372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 279,000</w:t>
            </w:r>
          </w:p>
        </w:tc>
      </w:tr>
      <w:tr>
        <w:trPr>
          <w:cantSplit/>
          <w:tblHeader w:val="false"/>
        </w:trPr>
        <w:tc>
          <w:tcPr>
            <w:tcW w:type="dxa" w:w="2845"/>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pPr>
            <w:r>
              <w:rPr>
                <w:rFonts w:ascii="Calibri" w:cs="Calibri" w:eastAsia="Calibri" w:hAnsi="Calibri"/>
                <w:sz w:val="18"/>
                <w:szCs w:val="18"/>
              </w:rPr>
              <w:t xml:space="preserve">+50%</w:t>
            </w:r>
          </w:p>
        </w:tc>
        <w:tc>
          <w:tcPr>
            <w:tcW w:type="dxa" w:w="245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pPr>
            <w:r>
              <w:rPr>
                <w:rFonts w:ascii="Calibri" w:cs="Calibri" w:eastAsia="Calibri" w:hAnsi="Calibri"/>
                <w:sz w:val="18"/>
                <w:szCs w:val="18"/>
              </w:rPr>
              <w:t xml:space="preserve">5,197</w:t>
            </w:r>
          </w:p>
        </w:tc>
        <w:tc>
          <w:tcPr>
            <w:tcW w:type="dxa" w:w="3727"/>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pPr>
            <w:r>
              <w:rPr>
                <w:rFonts w:ascii="Calibri" w:cs="Calibri" w:eastAsia="Calibri" w:hAnsi="Calibri"/>
                <w:sz w:val="18"/>
                <w:szCs w:val="18"/>
              </w:rPr>
              <w:t xml:space="preserve">≈ 109,000</w:t>
            </w:r>
          </w:p>
        </w:tc>
      </w:tr>
    </w:tbl>
    <w:p>
      <w:pPr>
        <w:spacing w:after="120"/>
      </w:pPr>
    </w:p>
    <w:p>
      <w:pPr>
        <w:spacing w:after="160" w:line="360"/>
      </w:pPr>
      <w:r>
        <w:rPr>
          <w:rFonts w:ascii="Calibri" w:cs="Calibri" w:eastAsia="Calibri" w:hAnsi="Calibri"/>
          <w:b/>
          <w:bCs/>
        </w:rPr>
        <w:t xml:space="preserve">Analysis model.</w:t>
      </w:r>
      <w:r>
        <w:rPr>
          <w:rFonts w:ascii="Calibri" w:cs="Calibri" w:eastAsia="Calibri" w:hAnsi="Calibri"/>
        </w:rPr>
        <w:t xml:space="preserve"> </w:t>
      </w:r>
      <w:r>
        <w:rPr>
          <w:rFonts w:ascii="Consolas" w:cs="Consolas" w:eastAsia="Consolas" w:hAnsi="Consolas"/>
          <w:sz w:val="20"/>
          <w:szCs w:val="20"/>
        </w:rPr>
        <w:t xml:space="preserve">purchase ~ influencer_type * format + (1 | influencer) + (1 | post)</w:t>
      </w:r>
    </w:p>
    <w:p>
      <w:pPr>
        <w:spacing w:after="160" w:line="360"/>
      </w:pPr>
      <w:r>
        <w:rPr>
          <w:rFonts w:ascii="Calibri" w:cs="Calibri" w:eastAsia="Calibri" w:hAnsi="Calibri"/>
        </w:rPr>
        <w:t xml:space="preserve">The model is fitted as a mixed-effects logistic regression. Results are reported as odds ratios with 95% confidence intervals, and the Holm–Bonferroni correction is applied across H1–H4. Early stopping is allowed only at a pre-registered O'Brien–Fleming boundary.</w:t>
      </w:r>
    </w:p>
    <w:p>
      <w:pPr>
        <w:spacing w:after="160" w:line="360"/>
      </w:pPr>
      <w:r>
        <w:rPr>
          <w:rFonts w:ascii="Calibri" w:cs="Calibri" w:eastAsia="Calibri" w:hAnsi="Calibri"/>
          <w:b/>
          <w:bCs/>
        </w:rPr>
        <w:t xml:space="preserve">Controls and covariates.</w:t>
      </w:r>
      <w:r>
        <w:rPr>
          <w:rFonts w:ascii="Calibri" w:cs="Calibri" w:eastAsia="Calibri" w:hAnsi="Calibri"/>
        </w:rPr>
        <w:t xml:space="preserve"> The following are held constant across arms:</w:t>
      </w:r>
    </w:p>
    <w:p>
      <w:pPr>
        <w:pStyle w:val="ListParagraph"/>
        <w:numPr>
          <w:ilvl w:val="0"/>
          <w:numId w:val="2"/>
        </w:numPr>
        <w:spacing w:after="60" w:line="360"/>
      </w:pPr>
      <w:r>
        <w:rPr>
          <w:rFonts w:ascii="Calibri" w:cs="Calibri" w:eastAsia="Calibri" w:hAnsi="Calibri"/>
        </w:rPr>
        <w:t xml:space="preserve">posting window (weekdays 18:00–20:00, audience local time)</w:t>
      </w:r>
    </w:p>
    <w:p>
      <w:pPr>
        <w:pStyle w:val="ListParagraph"/>
        <w:numPr>
          <w:ilvl w:val="0"/>
          <w:numId w:val="2"/>
        </w:numPr>
        <w:spacing w:after="60" w:line="360"/>
      </w:pPr>
      <w:r>
        <w:rPr>
          <w:rFonts w:ascii="Calibri" w:cs="Calibri" w:eastAsia="Calibri" w:hAnsi="Calibri"/>
        </w:rPr>
        <w:t xml:space="preserve">the hashtag set (#PulseWearVantage, #TrackYourPulse)</w:t>
      </w:r>
    </w:p>
    <w:p>
      <w:pPr>
        <w:pStyle w:val="ListParagraph"/>
        <w:numPr>
          <w:ilvl w:val="0"/>
          <w:numId w:val="2"/>
        </w:numPr>
        <w:spacing w:after="60" w:line="360"/>
      </w:pPr>
      <w:r>
        <w:rPr>
          <w:rFonts w:ascii="Calibri" w:cs="Calibri" w:eastAsia="Calibri" w:hAnsi="Calibri"/>
        </w:rPr>
        <w:t xml:space="preserve">the 10% discount (the codes differ only for tracking)</w:t>
      </w:r>
    </w:p>
    <w:p>
      <w:pPr>
        <w:pStyle w:val="ListParagraph"/>
        <w:numPr>
          <w:ilvl w:val="0"/>
          <w:numId w:val="2"/>
        </w:numPr>
        <w:spacing w:after="60" w:line="360"/>
      </w:pPr>
      <w:r>
        <w:rPr>
          <w:rFonts w:ascii="Calibri" w:cs="Calibri" w:eastAsia="Calibri" w:hAnsi="Calibri"/>
        </w:rPr>
        <w:t xml:space="preserve">CTA wording, product claims and video length (under 45 seconds)</w:t>
      </w:r>
    </w:p>
    <w:p>
      <w:pPr>
        <w:spacing w:after="160" w:line="360"/>
      </w:pPr>
      <w:r>
        <w:rPr>
          <w:rFonts w:ascii="Calibri" w:cs="Calibri" w:eastAsia="Calibri" w:hAnsi="Calibri"/>
        </w:rPr>
        <w:t xml:space="preserve">The model adjusts for follower count, historical engagement rate and audience overlap. Cross-exposed users are identified by discount code and cookie and excluded from the H1 estimate.</w:t>
      </w:r>
    </w:p>
    <w:p>
      <w:pPr>
        <w:keepNext/>
        <w:spacing w:before="120"/>
        <w:jc w:val="center"/>
      </w:pPr>
      <w:r>
        <w:drawing>
          <wp:inline distT="0" distB="0" distL="0" distR="0">
            <wp:extent cx="5334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371725"/>
                    </a:xfrm>
                    <a:prstGeom prst="rect">
                      <a:avLst/>
                    </a:prstGeom>
                  </pic:spPr>
                </pic:pic>
              </a:graphicData>
            </a:graphic>
          </wp:inline>
        </w:drawing>
      </w:r>
    </w:p>
    <w:p>
      <w:pPr>
        <w:spacing w:after="200"/>
      </w:pPr>
      <w:r>
        <w:rPr>
          <w:rFonts w:ascii="Calibri" w:cs="Calibri" w:eastAsia="Calibri" w:hAnsi="Calibri"/>
          <w:i/>
          <w:iCs/>
          <w:sz w:val="20"/>
          <w:szCs w:val="20"/>
        </w:rPr>
        <w:t xml:space="preserve">Figure A5. Clicks needed per arm against the minimum detectable lift (log scale).</w:t>
      </w:r>
    </w:p>
    <w:p>
      <w:pPr>
        <w:pStyle w:val="Heading1"/>
        <w:keepNext/>
      </w:pPr>
      <w:r>
        <w:rPr>
          <w:rFonts w:ascii="Calibri" w:cs="Calibri" w:eastAsia="Calibri" w:hAnsi="Calibri"/>
        </w:rPr>
        <w:t xml:space="preserve">Appendix D. Full risk–benefit analysis</w:t>
      </w:r>
    </w:p>
    <w:p>
      <w:pPr>
        <w:keepNext/>
        <w:spacing w:after="80" w:before="120"/>
      </w:pPr>
      <w:r>
        <w:rPr>
          <w:rFonts w:ascii="Calibri" w:cs="Calibri" w:eastAsia="Calibri" w:hAnsi="Calibri"/>
          <w:b/>
          <w:bCs/>
          <w:sz w:val="20"/>
          <w:szCs w:val="20"/>
        </w:rPr>
        <w:t xml:space="preserve">Table A4. Risk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63"/>
        <w:gridCol w:w="2099"/>
        <w:gridCol w:w="3464"/>
      </w:tblGrid>
      <w:tr>
        <w:trPr>
          <w:cantSplit/>
          <w:tblHeader/>
        </w:trPr>
        <w:tc>
          <w:tcPr>
            <w:tcW w:type="dxa" w:w="3463"/>
            <w:tcBorders>
              <w:top w:val="single" w:color="BFBFBF" w:sz="4"/>
              <w:left w:val="single" w:color="BFBFBF" w:sz="4"/>
              <w:bottom w:val="single" w:color="BFBFBF" w:sz="4"/>
              <w:right w:val="single" w:color="BFBFBF" w:sz="4"/>
            </w:tcBorders>
            <w:shd w:fill="E7EEF7" w:color="auto" w:val="clear"/>
            <w:tcMar>
              <w:top w:type="dxa" w:w="40"/>
              <w:left w:type="dxa" w:w="80"/>
              <w:bottom w:type="dxa" w:w="40"/>
              <w:right w:type="dxa" w:w="80"/>
            </w:tcMar>
          </w:tcPr>
          <w:p>
            <w:pPr>
              <w:keepNext/>
            </w:pPr>
            <w:r>
              <w:rPr>
                <w:rFonts w:ascii="Calibri" w:cs="Calibri" w:eastAsia="Calibri" w:hAnsi="Calibri"/>
                <w:b/>
                <w:bCs/>
                <w:sz w:val="18"/>
                <w:szCs w:val="18"/>
              </w:rPr>
              <w:t xml:space="preserve">Risk</w:t>
            </w:r>
          </w:p>
        </w:tc>
        <w:tc>
          <w:tcPr>
            <w:tcW w:type="dxa" w:w="2099"/>
            <w:tcBorders>
              <w:top w:val="single" w:color="BFBFBF" w:sz="4"/>
              <w:left w:val="single" w:color="BFBFBF" w:sz="4"/>
              <w:bottom w:val="single" w:color="BFBFBF" w:sz="4"/>
              <w:right w:val="single" w:color="BFBFBF" w:sz="4"/>
            </w:tcBorders>
            <w:shd w:fill="E7EEF7" w:color="auto" w:val="clear"/>
            <w:tcMar>
              <w:top w:type="dxa" w:w="40"/>
              <w:left w:type="dxa" w:w="80"/>
              <w:bottom w:type="dxa" w:w="40"/>
              <w:right w:type="dxa" w:w="80"/>
            </w:tcMar>
          </w:tcPr>
          <w:p>
            <w:pPr>
              <w:keepNext/>
            </w:pPr>
            <w:r>
              <w:rPr>
                <w:rFonts w:ascii="Calibri" w:cs="Calibri" w:eastAsia="Calibri" w:hAnsi="Calibri"/>
                <w:b/>
                <w:bCs/>
                <w:sz w:val="18"/>
                <w:szCs w:val="18"/>
              </w:rPr>
              <w:t xml:space="preserve">Likelihood / impact</w:t>
            </w:r>
          </w:p>
        </w:tc>
        <w:tc>
          <w:tcPr>
            <w:tcW w:type="dxa" w:w="3464"/>
            <w:tcBorders>
              <w:top w:val="single" w:color="BFBFBF" w:sz="4"/>
              <w:left w:val="single" w:color="BFBFBF" w:sz="4"/>
              <w:bottom w:val="single" w:color="BFBFBF" w:sz="4"/>
              <w:right w:val="single" w:color="BFBFBF" w:sz="4"/>
            </w:tcBorders>
            <w:shd w:fill="E7EEF7" w:color="auto" w:val="clear"/>
            <w:tcMar>
              <w:top w:type="dxa" w:w="40"/>
              <w:left w:type="dxa" w:w="80"/>
              <w:bottom w:type="dxa" w:w="40"/>
              <w:right w:type="dxa" w:w="80"/>
            </w:tcMar>
          </w:tcPr>
          <w:p>
            <w:pPr>
              <w:keepNext/>
            </w:pPr>
            <w:r>
              <w:rPr>
                <w:rFonts w:ascii="Calibri" w:cs="Calibri" w:eastAsia="Calibri" w:hAnsi="Calibri"/>
                <w:b/>
                <w:bCs/>
                <w:sz w:val="18"/>
                <w:szCs w:val="18"/>
              </w:rPr>
              <w:t xml:space="preserve">Mitigation</w:t>
            </w:r>
          </w:p>
        </w:tc>
      </w:tr>
      <w:tr>
        <w:trPr>
          <w:cantSplit/>
          <w:tblHeader w:val="false"/>
        </w:trPr>
        <w:tc>
          <w:tcPr>
            <w:tcW w:type="dxa" w:w="346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Audience fatigue: the Instagram cluster is a chain, so the same followers repeatedly see FitSara, TechNova and RunSmart</w:t>
            </w:r>
          </w:p>
        </w:tc>
        <w:tc>
          <w:tcPr>
            <w:tcW w:type="dxa" w:w="2099"/>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High / Medium</w:t>
            </w:r>
          </w:p>
        </w:tc>
        <w:tc>
          <w:tcPr>
            <w:tcW w:type="dxa" w:w="346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Frequency cap; staggered posting weeks; track frequency and conversion decay; rotate formats</w:t>
            </w:r>
          </w:p>
        </w:tc>
      </w:tr>
      <w:tr>
        <w:trPr>
          <w:cantSplit/>
          <w:tblHeader w:val="false"/>
        </w:trPr>
        <w:tc>
          <w:tcPr>
            <w:tcW w:type="dxa" w:w="346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Algorithm changes throttle reach (e.g., Reels or link posts)</w:t>
            </w:r>
          </w:p>
        </w:tc>
        <w:tc>
          <w:tcPr>
            <w:tcW w:type="dxa" w:w="2099"/>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Medium / High</w:t>
            </w:r>
          </w:p>
        </w:tc>
        <w:tc>
          <w:tcPr>
            <w:tcW w:type="dxa" w:w="346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Spread across three platforms; measure conversion per click; keep a hold-out control</w:t>
            </w:r>
          </w:p>
        </w:tc>
      </w:tr>
      <w:tr>
        <w:trPr>
          <w:cantSplit/>
          <w:tblHeader w:val="false"/>
        </w:trPr>
        <w:tc>
          <w:tcPr>
            <w:tcW w:type="dxa" w:w="346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Influencer scandal or off-brand behaviour</w:t>
            </w:r>
          </w:p>
        </w:tc>
        <w:tc>
          <w:tcPr>
            <w:tcW w:type="dxa" w:w="2099"/>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Low / High</w:t>
            </w:r>
          </w:p>
        </w:tc>
        <w:tc>
          <w:tcPr>
            <w:tcW w:type="dxa" w:w="346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Morals clause; 12-month brand-safety review of past posts; budget cap of 35% per influencer; secondary tier on standby</w:t>
            </w:r>
          </w:p>
        </w:tc>
      </w:tr>
      <w:tr>
        <w:trPr>
          <w:cantSplit/>
          <w:tblHeader w:val="false"/>
        </w:trPr>
        <w:tc>
          <w:tcPr>
            <w:tcW w:type="dxa" w:w="346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Over-reliance on bridges: both cross-ties are weak (weight 1), and removing FitSara disconnects LinkedIn</w:t>
            </w:r>
          </w:p>
        </w:tc>
        <w:tc>
          <w:tcPr>
            <w:tcW w:type="dxa" w:w="2099"/>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Medium / High</w:t>
            </w:r>
          </w:p>
        </w:tc>
        <w:tc>
          <w:tcPr>
            <w:tcW w:type="dxa" w:w="346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Develop more bridges through briefed cross-platform collaborations; monitor bridge strength monthly</w:t>
            </w:r>
          </w:p>
        </w:tc>
      </w:tr>
      <w:tr>
        <w:trPr>
          <w:cantSplit/>
          <w:tblHeader w:val="false"/>
        </w:trPr>
        <w:tc>
          <w:tcPr>
            <w:tcW w:type="dxa" w:w="346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False positives from a small sample (six influencers)</w:t>
            </w:r>
          </w:p>
        </w:tc>
        <w:tc>
          <w:tcPr>
            <w:tcW w:type="dxa" w:w="2099"/>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High / Medium</w:t>
            </w:r>
          </w:p>
        </w:tc>
        <w:tc>
          <w:tcPr>
            <w:tcW w:type="dxa" w:w="346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Mixed model, pre-registration, Holm correction, effect sizes with intervals</w:t>
            </w:r>
          </w:p>
        </w:tc>
      </w:tr>
      <w:tr>
        <w:trPr>
          <w:cantSplit/>
          <w:tblHeader w:val="false"/>
        </w:trPr>
        <w:tc>
          <w:tcPr>
            <w:tcW w:type="dxa" w:w="346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Legal and ethical exposure: undisclosed ads, or tracking without consent</w:t>
            </w:r>
          </w:p>
        </w:tc>
        <w:tc>
          <w:tcPr>
            <w:tcW w:type="dxa" w:w="2099"/>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Medium / High</w:t>
            </w:r>
          </w:p>
        </w:tc>
        <w:tc>
          <w:tcPr>
            <w:tcW w:type="dxa" w:w="346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pPr>
            <w:r>
              <w:rPr>
                <w:rFonts w:ascii="Calibri" w:cs="Calibri" w:eastAsia="Calibri" w:hAnsi="Calibri"/>
                <w:sz w:val="18"/>
                <w:szCs w:val="18"/>
              </w:rPr>
              <w:t xml:space="preserve">#ad and paid-partnership labels (ACCC, 2023); consent-based cookies; aggregated, anonymised analytics under the Privacy Act 1988 (Cth) and GDPR</w:t>
            </w:r>
          </w:p>
        </w:tc>
      </w:tr>
      <w:tr>
        <w:trPr>
          <w:cantSplit/>
          <w:tblHeader w:val="false"/>
        </w:trPr>
        <w:tc>
          <w:tcPr>
            <w:tcW w:type="dxa" w:w="3463"/>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pPr>
            <w:r>
              <w:rPr>
                <w:rFonts w:ascii="Calibri" w:cs="Calibri" w:eastAsia="Calibri" w:hAnsi="Calibri"/>
                <w:sz w:val="18"/>
                <w:szCs w:val="18"/>
              </w:rPr>
              <w:t xml:space="preserve">Data limitations: a 10-node sample; CTR and conversion-rate definitions assumed; brand fit is a judgement</w:t>
            </w:r>
          </w:p>
        </w:tc>
        <w:tc>
          <w:tcPr>
            <w:tcW w:type="dxa" w:w="2099"/>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pPr>
            <w:r>
              <w:rPr>
                <w:rFonts w:ascii="Calibri" w:cs="Calibri" w:eastAsia="Calibri" w:hAnsi="Calibri"/>
                <w:sz w:val="18"/>
                <w:szCs w:val="18"/>
              </w:rPr>
              <w:t xml:space="preserve">High / Medium</w:t>
            </w:r>
          </w:p>
        </w:tc>
        <w:tc>
          <w:tcPr>
            <w:tcW w:type="dxa" w:w="3464"/>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pPr>
            <w:r>
              <w:rPr>
                <w:rFonts w:ascii="Calibri" w:cs="Calibri" w:eastAsia="Calibri" w:hAnsi="Calibri"/>
                <w:sz w:val="18"/>
                <w:szCs w:val="18"/>
              </w:rPr>
              <w:t xml:space="preserve">State assumptions; run sensitivity analysis; validate through the pilot before scaling</w:t>
            </w:r>
          </w:p>
        </w:tc>
      </w:tr>
    </w:tbl>
    <w:p>
      <w:pPr>
        <w:spacing w:after="12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Calibri" w:cs="Calibri" w:eastAsia="Calibri" w:hAnsi="Calibri"/>
      <w:b/>
      <w:bCs/>
      <w:color w:val="1F3864"/>
      <w:sz w:val="32"/>
      <w:szCs w:val="32"/>
    </w:rPr>
  </w:style>
  <w:style w:type="paragraph" w:styleId="Heading1">
    <w:name w:val="Heading 1"/>
    <w:basedOn w:val="Normal"/>
    <w:next w:val="Normal"/>
    <w:qFormat/>
    <w:pPr>
      <w:spacing w:after="120" w:before="24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bff6b51b2711d90df462ff23fd91976b684628c.png"/><Relationship Id="rId9" Type="http://schemas.openxmlformats.org/officeDocument/2006/relationships/image" Target="media/3585effeec3f02ff1c0a14ecc4412f8b3b793a8a.png"/><Relationship Id="rId10" Type="http://schemas.openxmlformats.org/officeDocument/2006/relationships/image" Target="media/a33110b149203b92836df36f66b69516d86da273.png"/><Relationship Id="rId11" Type="http://schemas.openxmlformats.org/officeDocument/2006/relationships/image" Target="media/c632edc57deadaebdd35fbeea49fc0b94e0a3be3.png"/><Relationship Id="rId12" Type="http://schemas.openxmlformats.org/officeDocument/2006/relationships/image" Target="media/683e5db7673a17aa7c7df8e010051cd35d807328.png"/><Relationship Id="rId13" Type="http://schemas.openxmlformats.org/officeDocument/2006/relationships/image" Target="media/45ca38cf69954c24f2cdf0455e5f26f559fc11ea.png"/><Relationship Id="rId14" Type="http://schemas.openxmlformats.org/officeDocument/2006/relationships/image" Target="media/83a023afed51e42d9f2a7c271c7979450def1b0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PulseWear Vantage: Influencer Network Analysis and A/B Testing Strategy</dc:title>
  <cp:lastModifiedBy>Un-named</cp:lastModifiedBy>
  <cp:revision>1</cp:revision>
  <dcterms:created xsi:type="dcterms:W3CDTF">2026-09-26T08:52:07.000Z</dcterms:created>
  <dcterms:modified xsi:type="dcterms:W3CDTF">2026-09-26T08:52:07.001Z</dcterms:modified>
</cp:coreProperties>
</file>

<file path=docProps/custom.xml><?xml version="1.0" encoding="utf-8"?>
<Properties xmlns="http://schemas.openxmlformats.org/officeDocument/2006/custom-properties" xmlns:vt="http://schemas.openxmlformats.org/officeDocument/2006/docPropsVTypes"/>
</file>