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91C2" w14:textId="2D0E13AC" w:rsidR="00637A95" w:rsidRPr="0030131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無尽-donor-projection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無尽</w:t>
      </w:r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Donor Projection</w:t>
      </w:r>
    </w:p>
    <w:p w14:paraId="38D58C21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a-158700000-1000000-usd-capital-case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A ¥158,700,000 ($1,000,000 USD) Capital Case</w:t>
      </w:r>
    </w:p>
    <w:p w14:paraId="736DA0DB" w14:textId="7A5B429B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4FC0EDB7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the-problem"/>
      <w:bookmarkEnd w:id="1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The Problem</w:t>
      </w:r>
    </w:p>
    <w:p w14:paraId="376C5E92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350,000 international students live and study in Japan. Most cannot open a bank account, secure a business address, or qualify for the visa that would let them stay and build. The system was never built for them.</w:t>
      </w:r>
    </w:p>
    <w:p w14:paraId="5374DFC1" w14:textId="664E2B2D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45B8CB5A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the-model"/>
      <w:bookmarkEnd w:id="2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The Model</w:t>
      </w:r>
    </w:p>
    <w:p w14:paraId="5D5E062C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Mujin provides ¥500,000 in venture funding to international students with entrepreneurial vision. Not as a loan. As a covenant. Upon success, recipients return the principal and a covenant gift — funding the next generation. Capital recycles. Trust compounds.</w:t>
      </w:r>
    </w:p>
    <w:p w14:paraId="7B1FB4F3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Operations are fully self-funded. Students pay ¥10,000/month for co-working space. That revenue covers all program costs. Every yen of donor capital goes directly to students.</w:t>
      </w:r>
    </w:p>
    <w:p w14:paraId="0A6DCEDC" w14:textId="5FDB4712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31A575B6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the-raise"/>
      <w:bookmarkEnd w:id="3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The Raise</w:t>
      </w:r>
    </w:p>
    <w:p w14:paraId="33A18BE7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Target: ¥158,700,000 ($1,000,000 USD)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8"/>
        <w:gridCol w:w="3978"/>
      </w:tblGrid>
      <w:tr w:rsidR="00637A95" w:rsidRPr="0030131B" w14:paraId="253FBF69" w14:textId="77777777" w:rsidTr="0063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0ED04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Use of Funds</w:t>
            </w:r>
          </w:p>
        </w:tc>
        <w:tc>
          <w:tcPr>
            <w:tcW w:w="0" w:type="auto"/>
          </w:tcPr>
          <w:p w14:paraId="081192F7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</w:t>
            </w:r>
          </w:p>
        </w:tc>
      </w:tr>
      <w:tr w:rsidR="00637A95" w:rsidRPr="0030131B" w14:paraId="4AE4E4C5" w14:textId="77777777">
        <w:tc>
          <w:tcPr>
            <w:tcW w:w="0" w:type="auto"/>
          </w:tcPr>
          <w:p w14:paraId="199EE308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Grant capital — 275 students over 7 years</w:t>
            </w:r>
          </w:p>
        </w:tc>
        <w:tc>
          <w:tcPr>
            <w:tcW w:w="0" w:type="auto"/>
          </w:tcPr>
          <w:p w14:paraId="7F78731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¥75M+</w:t>
            </w:r>
          </w:p>
        </w:tc>
      </w:tr>
      <w:tr w:rsidR="00637A95" w:rsidRPr="0030131B" w14:paraId="2E9EF2B7" w14:textId="77777777">
        <w:tc>
          <w:tcPr>
            <w:tcW w:w="0" w:type="auto"/>
          </w:tcPr>
          <w:p w14:paraId="4A292D1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Reserve — seeds future cohorts before recycling activates</w:t>
            </w:r>
          </w:p>
        </w:tc>
        <w:tc>
          <w:tcPr>
            <w:tcW w:w="0" w:type="auto"/>
          </w:tcPr>
          <w:p w14:paraId="28B47951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¥83.7M</w:t>
            </w:r>
          </w:p>
        </w:tc>
      </w:tr>
      <w:tr w:rsidR="00637A95" w:rsidRPr="0030131B" w14:paraId="5E62F825" w14:textId="77777777">
        <w:tc>
          <w:tcPr>
            <w:tcW w:w="0" w:type="auto"/>
          </w:tcPr>
          <w:p w14:paraId="22D22B9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Operations</w:t>
            </w:r>
          </w:p>
        </w:tc>
        <w:tc>
          <w:tcPr>
            <w:tcW w:w="0" w:type="auto"/>
          </w:tcPr>
          <w:p w14:paraId="73DF739B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¥0 (self-funded via co-working revenue)</w:t>
            </w:r>
          </w:p>
        </w:tc>
      </w:tr>
      <w:tr w:rsidR="00637A95" w:rsidRPr="0030131B" w14:paraId="4E0071D0" w14:textId="77777777">
        <w:tc>
          <w:tcPr>
            <w:tcW w:w="0" w:type="auto"/>
          </w:tcPr>
          <w:p w14:paraId="15D6806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Staff</w:t>
            </w:r>
          </w:p>
        </w:tc>
        <w:tc>
          <w:tcPr>
            <w:tcW w:w="0" w:type="auto"/>
          </w:tcPr>
          <w:p w14:paraId="6109BF65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¥0 (self-funded team)</w:t>
            </w:r>
          </w:p>
        </w:tc>
      </w:tr>
      <w:tr w:rsidR="00637A95" w:rsidRPr="0030131B" w14:paraId="68A5CABB" w14:textId="77777777">
        <w:tc>
          <w:tcPr>
            <w:tcW w:w="0" w:type="auto"/>
          </w:tcPr>
          <w:p w14:paraId="021B1687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</w:t>
            </w:r>
          </w:p>
        </w:tc>
        <w:tc>
          <w:tcPr>
            <w:tcW w:w="0" w:type="auto"/>
          </w:tcPr>
          <w:p w14:paraId="643BE3F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¥158.7M</w:t>
            </w:r>
          </w:p>
        </w:tc>
      </w:tr>
    </w:tbl>
    <w:p w14:paraId="3B5F61C5" w14:textId="7A4262B0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55368361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year-projection"/>
      <w:bookmarkEnd w:id="4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7-Year Projection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83"/>
        <w:gridCol w:w="1770"/>
        <w:gridCol w:w="1543"/>
      </w:tblGrid>
      <w:tr w:rsidR="00637A95" w:rsidRPr="0030131B" w14:paraId="1D0BD68A" w14:textId="77777777" w:rsidTr="0063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5AFEA6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Year</w:t>
            </w:r>
          </w:p>
        </w:tc>
        <w:tc>
          <w:tcPr>
            <w:tcW w:w="0" w:type="auto"/>
          </w:tcPr>
          <w:p w14:paraId="68E7FB0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Cohort</w:t>
            </w:r>
          </w:p>
        </w:tc>
        <w:tc>
          <w:tcPr>
            <w:tcW w:w="0" w:type="auto"/>
          </w:tcPr>
          <w:p w14:paraId="2696E5E9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Students Served</w:t>
            </w:r>
          </w:p>
        </w:tc>
        <w:tc>
          <w:tcPr>
            <w:tcW w:w="0" w:type="auto"/>
          </w:tcPr>
          <w:p w14:paraId="05FEDA5D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Fund Balance</w:t>
            </w:r>
          </w:p>
        </w:tc>
      </w:tr>
      <w:tr w:rsidR="00637A95" w:rsidRPr="0030131B" w14:paraId="37420971" w14:textId="77777777">
        <w:tc>
          <w:tcPr>
            <w:tcW w:w="0" w:type="auto"/>
          </w:tcPr>
          <w:p w14:paraId="6A321AD0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2027</w:t>
            </w:r>
          </w:p>
        </w:tc>
        <w:tc>
          <w:tcPr>
            <w:tcW w:w="0" w:type="auto"/>
          </w:tcPr>
          <w:p w14:paraId="1F3B7D9F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484F115B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0" w:type="auto"/>
          </w:tcPr>
          <w:p w14:paraId="1C59ACA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¥151.6M</w:t>
            </w:r>
          </w:p>
        </w:tc>
      </w:tr>
      <w:tr w:rsidR="00637A95" w:rsidRPr="0030131B" w14:paraId="0F63AF51" w14:textId="77777777">
        <w:tc>
          <w:tcPr>
            <w:tcW w:w="0" w:type="auto"/>
          </w:tcPr>
          <w:p w14:paraId="7B710E69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2028</w:t>
            </w:r>
          </w:p>
        </w:tc>
        <w:tc>
          <w:tcPr>
            <w:tcW w:w="0" w:type="auto"/>
          </w:tcPr>
          <w:p w14:paraId="3B42D498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0DE2AE34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0" w:type="auto"/>
          </w:tcPr>
          <w:p w14:paraId="4C41B258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¥140.1M</w:t>
            </w:r>
          </w:p>
        </w:tc>
      </w:tr>
      <w:tr w:rsidR="00637A95" w:rsidRPr="0030131B" w14:paraId="10B62B26" w14:textId="77777777">
        <w:tc>
          <w:tcPr>
            <w:tcW w:w="0" w:type="auto"/>
          </w:tcPr>
          <w:p w14:paraId="7E4965A1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2029</w:t>
            </w:r>
          </w:p>
        </w:tc>
        <w:tc>
          <w:tcPr>
            <w:tcW w:w="0" w:type="auto"/>
          </w:tcPr>
          <w:p w14:paraId="60CCBBF6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2953AA8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0" w:type="auto"/>
          </w:tcPr>
          <w:p w14:paraId="09C2C96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¥125.2M</w:t>
            </w:r>
          </w:p>
        </w:tc>
      </w:tr>
      <w:tr w:rsidR="00637A95" w:rsidRPr="0030131B" w14:paraId="2724584C" w14:textId="77777777">
        <w:tc>
          <w:tcPr>
            <w:tcW w:w="0" w:type="auto"/>
          </w:tcPr>
          <w:p w14:paraId="37A20E66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2030</w:t>
            </w:r>
          </w:p>
        </w:tc>
        <w:tc>
          <w:tcPr>
            <w:tcW w:w="0" w:type="auto"/>
          </w:tcPr>
          <w:p w14:paraId="5F0F1E5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620CE8A5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2445DC62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¥106.1M</w:t>
            </w:r>
          </w:p>
        </w:tc>
      </w:tr>
      <w:tr w:rsidR="00637A95" w:rsidRPr="0030131B" w14:paraId="60C60003" w14:textId="77777777">
        <w:tc>
          <w:tcPr>
            <w:tcW w:w="0" w:type="auto"/>
          </w:tcPr>
          <w:p w14:paraId="385C1408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2031</w:t>
            </w:r>
          </w:p>
        </w:tc>
        <w:tc>
          <w:tcPr>
            <w:tcW w:w="0" w:type="auto"/>
          </w:tcPr>
          <w:p w14:paraId="3F794821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2AD0EFEF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2C91646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¥90.0M</w:t>
            </w:r>
          </w:p>
        </w:tc>
      </w:tr>
      <w:tr w:rsidR="00637A95" w:rsidRPr="0030131B" w14:paraId="772379CB" w14:textId="77777777">
        <w:tc>
          <w:tcPr>
            <w:tcW w:w="0" w:type="auto"/>
          </w:tcPr>
          <w:p w14:paraId="26FB5433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lastRenderedPageBreak/>
              <w:t>2032</w:t>
            </w:r>
          </w:p>
        </w:tc>
        <w:tc>
          <w:tcPr>
            <w:tcW w:w="0" w:type="auto"/>
          </w:tcPr>
          <w:p w14:paraId="12D9EB97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4D2FC923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3D440FEB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¥76.4M</w:t>
            </w:r>
          </w:p>
        </w:tc>
      </w:tr>
      <w:tr w:rsidR="00637A95" w:rsidRPr="0030131B" w14:paraId="04CEFF35" w14:textId="77777777">
        <w:tc>
          <w:tcPr>
            <w:tcW w:w="0" w:type="auto"/>
          </w:tcPr>
          <w:p w14:paraId="27044F44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2033</w:t>
            </w:r>
          </w:p>
        </w:tc>
        <w:tc>
          <w:tcPr>
            <w:tcW w:w="0" w:type="auto"/>
          </w:tcPr>
          <w:p w14:paraId="6B61BA8B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1F3E5458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35367263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¥65.3M</w:t>
            </w:r>
          </w:p>
        </w:tc>
      </w:tr>
    </w:tbl>
    <w:p w14:paraId="1421536C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275 students served. ¥65.3M remaining. Recycling growing each year.</w:t>
      </w:r>
    </w:p>
    <w:p w14:paraId="5D8A0E6E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i/>
          <w:iCs/>
          <w:color w:val="000000" w:themeColor="text1"/>
        </w:rPr>
        <w:t>Assumptions: 45% graduation rate. 75% capital return rate. 20% co-working revenue deemed donation returned to fund annually.</w:t>
      </w:r>
    </w:p>
    <w:p w14:paraId="145874A5" w14:textId="5FD10261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207F99E3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the-recycling-curve"/>
      <w:bookmarkEnd w:id="5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The Recycling Curve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6"/>
        <w:gridCol w:w="2816"/>
      </w:tblGrid>
      <w:tr w:rsidR="00637A95" w:rsidRPr="0030131B" w14:paraId="76271199" w14:textId="77777777" w:rsidTr="0063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F58E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Year</w:t>
            </w:r>
          </w:p>
        </w:tc>
        <w:tc>
          <w:tcPr>
            <w:tcW w:w="0" w:type="auto"/>
          </w:tcPr>
          <w:p w14:paraId="4B437688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Capital Recycled Annually</w:t>
            </w:r>
          </w:p>
        </w:tc>
      </w:tr>
      <w:tr w:rsidR="00637A95" w:rsidRPr="0030131B" w14:paraId="232EFD27" w14:textId="77777777">
        <w:tc>
          <w:tcPr>
            <w:tcW w:w="0" w:type="auto"/>
          </w:tcPr>
          <w:p w14:paraId="53DB24C0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2027–2028</w:t>
            </w:r>
          </w:p>
        </w:tc>
        <w:tc>
          <w:tcPr>
            <w:tcW w:w="0" w:type="auto"/>
          </w:tcPr>
          <w:p w14:paraId="191DB17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¥0</w:t>
            </w:r>
          </w:p>
        </w:tc>
      </w:tr>
      <w:tr w:rsidR="00637A95" w:rsidRPr="0030131B" w14:paraId="419E1FA5" w14:textId="77777777">
        <w:tc>
          <w:tcPr>
            <w:tcW w:w="0" w:type="auto"/>
          </w:tcPr>
          <w:p w14:paraId="5CB2747E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2029</w:t>
            </w:r>
          </w:p>
        </w:tc>
        <w:tc>
          <w:tcPr>
            <w:tcW w:w="0" w:type="auto"/>
          </w:tcPr>
          <w:p w14:paraId="452BEFDF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¥1.0M</w:t>
            </w:r>
          </w:p>
        </w:tc>
      </w:tr>
      <w:tr w:rsidR="00637A95" w:rsidRPr="0030131B" w14:paraId="589497F2" w14:textId="77777777">
        <w:tc>
          <w:tcPr>
            <w:tcW w:w="0" w:type="auto"/>
          </w:tcPr>
          <w:p w14:paraId="6A30CA6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2030</w:t>
            </w:r>
          </w:p>
        </w:tc>
        <w:tc>
          <w:tcPr>
            <w:tcW w:w="0" w:type="auto"/>
          </w:tcPr>
          <w:p w14:paraId="6CD23DA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¥3.5M</w:t>
            </w:r>
          </w:p>
        </w:tc>
      </w:tr>
      <w:tr w:rsidR="00637A95" w:rsidRPr="0030131B" w14:paraId="24548C9A" w14:textId="77777777">
        <w:tc>
          <w:tcPr>
            <w:tcW w:w="0" w:type="auto"/>
          </w:tcPr>
          <w:p w14:paraId="5795FC0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2031</w:t>
            </w:r>
          </w:p>
        </w:tc>
        <w:tc>
          <w:tcPr>
            <w:tcW w:w="0" w:type="auto"/>
          </w:tcPr>
          <w:p w14:paraId="2FF35019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¥6.5M</w:t>
            </w:r>
          </w:p>
        </w:tc>
      </w:tr>
      <w:tr w:rsidR="00637A95" w:rsidRPr="0030131B" w14:paraId="1BA27B91" w14:textId="77777777">
        <w:tc>
          <w:tcPr>
            <w:tcW w:w="0" w:type="auto"/>
          </w:tcPr>
          <w:p w14:paraId="5AA2A84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2032</w:t>
            </w:r>
          </w:p>
        </w:tc>
        <w:tc>
          <w:tcPr>
            <w:tcW w:w="0" w:type="auto"/>
          </w:tcPr>
          <w:p w14:paraId="2D1F0F80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¥9.0M</w:t>
            </w:r>
          </w:p>
        </w:tc>
      </w:tr>
      <w:tr w:rsidR="00637A95" w:rsidRPr="0030131B" w14:paraId="174F8CE9" w14:textId="77777777">
        <w:tc>
          <w:tcPr>
            <w:tcW w:w="0" w:type="auto"/>
          </w:tcPr>
          <w:p w14:paraId="436B29E4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2033</w:t>
            </w:r>
          </w:p>
        </w:tc>
        <w:tc>
          <w:tcPr>
            <w:tcW w:w="0" w:type="auto"/>
          </w:tcPr>
          <w:p w14:paraId="0132DCD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¥11.5M</w:t>
            </w:r>
          </w:p>
        </w:tc>
      </w:tr>
    </w:tbl>
    <w:p w14:paraId="61DD87D5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By year 7, recycled capital covers nearly half of annual grant deployment. The program becomes structurally self-reinforcing — independent of future donor rounds.</w:t>
      </w:r>
    </w:p>
    <w:p w14:paraId="0AB0DCC6" w14:textId="70553A99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3E124064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why-this-works"/>
      <w:bookmarkEnd w:id="6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Why This Works</w:t>
      </w:r>
    </w:p>
    <w:p w14:paraId="5D3D1976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Zero overhead dependency.</w:t>
      </w:r>
      <w:r w:rsidRPr="0030131B">
        <w:rPr>
          <w:rFonts w:ascii="Times New Roman" w:hAnsi="Times New Roman" w:cs="Times New Roman"/>
          <w:color w:val="000000" w:themeColor="text1"/>
        </w:rPr>
        <w:t xml:space="preserve"> Co-working revenue from students covers all operating costs. Donor capital is not diluted by salaries, rent, or administration.</w:t>
      </w:r>
    </w:p>
    <w:p w14:paraId="0C06BB9B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Self-funded team.</w:t>
      </w:r>
      <w:r w:rsidRPr="0030131B">
        <w:rPr>
          <w:rFonts w:ascii="Times New Roman" w:hAnsi="Times New Roman" w:cs="Times New Roman"/>
          <w:color w:val="000000" w:themeColor="text1"/>
        </w:rPr>
        <w:t xml:space="preserve"> Leadership operates under the Frontier Commons support-raising model. No organizational salary burden.</w:t>
      </w:r>
    </w:p>
    <w:p w14:paraId="7957E6D2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Built-in accountability.</w:t>
      </w:r>
      <w:r w:rsidRPr="0030131B">
        <w:rPr>
          <w:rFonts w:ascii="Times New Roman" w:hAnsi="Times New Roman" w:cs="Times New Roman"/>
          <w:color w:val="000000" w:themeColor="text1"/>
        </w:rPr>
        <w:t xml:space="preserve"> The Trust Score system — measuring responsiveness, transparency, mutualism, and reflection — ensures capital goes to students most likely to succeed and return.</w:t>
      </w:r>
    </w:p>
    <w:p w14:paraId="3C3F0B5D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Covenant, not charity.</w:t>
      </w:r>
      <w:r w:rsidRPr="0030131B">
        <w:rPr>
          <w:rFonts w:ascii="Times New Roman" w:hAnsi="Times New Roman" w:cs="Times New Roman"/>
          <w:color w:val="000000" w:themeColor="text1"/>
        </w:rPr>
        <w:t xml:space="preserve"> Recipients are not recipients. They become the next generation’s donors. The program does not ask students to pay it back. It invites them to pay it forward.</w:t>
      </w:r>
    </w:p>
    <w:p w14:paraId="59A3B90A" w14:textId="10B5E6FC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78FE8EB2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why-now"/>
      <w:bookmarkEnd w:id="7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Why Now</w:t>
      </w:r>
    </w:p>
    <w:p w14:paraId="58B5293D" w14:textId="77777777" w:rsidR="00637A95" w:rsidRPr="0030131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Business Manager Visa capital requirement rose from ¥5M to ¥30M in October 2025. Mujin’s physical office solution is more urgent than ever.</w:t>
      </w:r>
    </w:p>
    <w:p w14:paraId="38FBFCA0" w14:textId="77777777" w:rsidR="00637A95" w:rsidRPr="0030131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By 2030, half of Protestant churches in Japan face closure. International students are the renewal pathway.</w:t>
      </w:r>
    </w:p>
    <w:p w14:paraId="36175C71" w14:textId="77777777" w:rsidR="00637A95" w:rsidRPr="0030131B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lastRenderedPageBreak/>
        <w:t>The ISM network — IFI, KGK, CCC, JCMN — is active, trusted, and ready to be mobilized.</w:t>
      </w:r>
    </w:p>
    <w:p w14:paraId="39423E7B" w14:textId="2D6B1E80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3D63CFF2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the-ask"/>
      <w:bookmarkEnd w:id="8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The Ask</w:t>
      </w:r>
    </w:p>
    <w:p w14:paraId="392D59E5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We are not asking you to fund a program that needs your money to survive. We are asking you to fund one that will outlast your gift.</w:t>
      </w:r>
    </w:p>
    <w:p w14:paraId="1BDE7E03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b/>
          <w:bCs/>
          <w:color w:val="000000" w:themeColor="text1"/>
        </w:rPr>
        <w:t>Pilot launch: Q2 2027. First cohort: 15 students. Fundraising target: Q3 2026.</w:t>
      </w:r>
    </w:p>
    <w:p w14:paraId="227D89A9" w14:textId="77777777" w:rsidR="0030131B" w:rsidRDefault="0030131B">
      <w:pPr>
        <w:pStyle w:val="BodyText"/>
        <w:rPr>
          <w:rFonts w:ascii="Times New Roman" w:hAnsi="Times New Roman" w:cs="Times New Roman"/>
          <w:i/>
          <w:iCs/>
          <w:color w:val="000000" w:themeColor="text1"/>
        </w:rPr>
      </w:pPr>
    </w:p>
    <w:p w14:paraId="43178648" w14:textId="548F8F69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proofErr w:type="spellStart"/>
      <w:r w:rsidRPr="0030131B">
        <w:rPr>
          <w:rFonts w:ascii="Times New Roman" w:hAnsi="Times New Roman" w:cs="Times New Roman"/>
          <w:i/>
          <w:iCs/>
          <w:color w:val="000000" w:themeColor="text1"/>
        </w:rPr>
        <w:t>Mujin</w:t>
      </w:r>
      <w:proofErr w:type="spellEnd"/>
      <w:r w:rsidRPr="0030131B">
        <w:rPr>
          <w:rFonts w:ascii="Times New Roman" w:hAnsi="Times New Roman" w:cs="Times New Roman"/>
          <w:i/>
          <w:iCs/>
          <w:color w:val="000000" w:themeColor="text1"/>
        </w:rPr>
        <w:t xml:space="preserve"> operates under the Frontier Commons umbrella. Rooted in Japan. Built for the world.</w:t>
      </w:r>
    </w:p>
    <w:p w14:paraId="78875643" w14:textId="1ABCABF7" w:rsidR="00637A95" w:rsidRDefault="00637A95">
      <w:pPr>
        <w:rPr>
          <w:rFonts w:ascii="Times New Roman" w:hAnsi="Times New Roman" w:cs="Times New Roman"/>
          <w:color w:val="000000" w:themeColor="text1"/>
        </w:rPr>
      </w:pPr>
    </w:p>
    <w:p w14:paraId="3CB209C7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2E6263CB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4DB5C31A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1C349737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2FE66EEF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020A2D3F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68C8CC15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0B0659FF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4CFF6A8C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18DB1583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301EB9C8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4E5B552D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392A6D3F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48D26A92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396C5A95" w14:textId="77777777" w:rsid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6BCFABE2" w14:textId="77777777" w:rsidR="0030131B" w:rsidRPr="0030131B" w:rsidRDefault="0030131B">
      <w:pPr>
        <w:rPr>
          <w:rFonts w:ascii="Times New Roman" w:hAnsi="Times New Roman" w:cs="Times New Roman"/>
          <w:color w:val="000000" w:themeColor="text1"/>
        </w:rPr>
      </w:pPr>
    </w:p>
    <w:p w14:paraId="7B054DEF" w14:textId="4516E785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158BC4EF" w14:textId="77777777" w:rsidR="00637A95" w:rsidRPr="0030131B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appendix-assumptions-data-sources"/>
      <w:bookmarkEnd w:id="9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Appendix: Assumptions &amp; Data Sources</w:t>
      </w:r>
    </w:p>
    <w:p w14:paraId="2E0EC916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graduation-rate-45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Graduation Rate — 45%</w:t>
      </w:r>
    </w:p>
    <w:p w14:paraId="084516AE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Global startup failure data: 20% fail year 1, 45% by year 5, 65% by year 10. Long-term survival rate for ventures is ~10% by conventional definition.</w:t>
      </w:r>
    </w:p>
    <w:p w14:paraId="5D83C1D7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Mujin’s graduation gate is not conventional startup success. It requires company incorporation, product live, 3 months non-negative cash flow, and a green trust score for 6 consecutive months. This is a micro-entrepreneur threshold. Small business viability within 3 years runs 40–60% globally. We use 45% as the conservative midpoint, accounting for Japan’s higher failure stigma and the complexity of operating as a foreign national.</w:t>
      </w:r>
    </w:p>
    <w:p w14:paraId="22B02A87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 xml:space="preserve">Upside argument: Mujin’s cohort is self-selected and </w:t>
      </w:r>
      <w:proofErr w:type="gramStart"/>
      <w:r w:rsidRPr="0030131B">
        <w:rPr>
          <w:rFonts w:ascii="Times New Roman" w:hAnsi="Times New Roman" w:cs="Times New Roman"/>
          <w:color w:val="000000" w:themeColor="text1"/>
        </w:rPr>
        <w:t>community-filtered</w:t>
      </w:r>
      <w:proofErr w:type="gramEnd"/>
      <w:r w:rsidRPr="0030131B">
        <w:rPr>
          <w:rFonts w:ascii="Times New Roman" w:hAnsi="Times New Roman" w:cs="Times New Roman"/>
          <w:color w:val="000000" w:themeColor="text1"/>
        </w:rPr>
        <w:t>. Selection effect should push this above the baseline.</w:t>
      </w:r>
    </w:p>
    <w:p w14:paraId="5B5C3337" w14:textId="1901E2A2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7B25AB54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capital-return-rate-75-of-graduates"/>
      <w:bookmarkEnd w:id="11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Capital Return Rate — 75% of Graduates</w:t>
      </w:r>
    </w:p>
    <w:p w14:paraId="6F2ABA5C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No direct external data source exists for honor pledge return rates. This assumption is derived from three structural factors built into the program: self-selected and community-accountable participants, a social accountability mechanism (exclusion from alumni and university career networks), and ISM community culture emphasizing covenant and mutual obligation.</w:t>
      </w:r>
    </w:p>
    <w:p w14:paraId="553C5D92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Range modeled: 60% conservative / 75% moderate / 85% optimistic. Moderate used for base projection.</w:t>
      </w:r>
    </w:p>
    <w:p w14:paraId="07DE9783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This is the least data-grounded assumption in the model and should be stress-tested once cohort 1 data exists.</w:t>
      </w:r>
    </w:p>
    <w:p w14:paraId="01673E88" w14:textId="7860191F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70D694E3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return-timeline-2436-months"/>
      <w:bookmarkEnd w:id="12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Return Timeline — 24–36 Months</w:t>
      </w:r>
    </w:p>
    <w:p w14:paraId="731AAC1E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Median time to first revenue: 6–12 months (Kauffman Foundation). Median time to non-negative cash flow: 18–24 months. Mujin’s graduation gate requires 3 months non-negative cash flow plus 6 months green trust score. Minimum realistic timeline is 18 months. Buffer added for exit interview and capital return process yields 24–36 months from enrollment.</w:t>
      </w:r>
    </w:p>
    <w:p w14:paraId="6149F69A" w14:textId="19B0A3EA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6D866DF3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co-working-revenue-10000studentmonth"/>
      <w:bookmarkEnd w:id="13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Co-Working Revenue — ¥10,000/Student/Month</w:t>
      </w:r>
    </w:p>
    <w:p w14:paraId="5934F4B8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Sourced directly from Mujin program design. Church Usage Agreement at ¥10,000/month satisfies Immigration Bureau physical office requirement for Business Manager Visa. Fixed program design parameter, not an estimate. Average student tenure in program modeled at 20 months.</w:t>
      </w:r>
    </w:p>
    <w:p w14:paraId="5F9D10D5" w14:textId="288CFFD5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279B9AFD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deemed-donation-20"/>
      <w:bookmarkEnd w:id="14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Deemed Donation — 20%</w:t>
      </w:r>
    </w:p>
    <w:p w14:paraId="1795AD0F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Sourced directly from Mujin legal structure. Religious Corporation tax framework allows up to 20% of co-working revenue donated tax-free to the Mutual Aid Fund. Fixed legal design parameter, not an estimate.</w:t>
      </w:r>
    </w:p>
    <w:p w14:paraId="641CE76C" w14:textId="443F4E38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43E7054F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cohort-growth-15-25-35-50-50-50-50"/>
      <w:bookmarkEnd w:id="15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Cohort Growth — 15 / 25 / 35 / 50 / 50 / 50 / 50</w:t>
      </w:r>
    </w:p>
    <w:p w14:paraId="10C370D5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Addressable pipeline derived from population data: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09"/>
        <w:gridCol w:w="1776"/>
      </w:tblGrid>
      <w:tr w:rsidR="00637A95" w:rsidRPr="0030131B" w14:paraId="4476B614" w14:textId="77777777" w:rsidTr="00637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CC59A5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Funnel Stage</w:t>
            </w:r>
          </w:p>
        </w:tc>
        <w:tc>
          <w:tcPr>
            <w:tcW w:w="0" w:type="auto"/>
          </w:tcPr>
          <w:p w14:paraId="1E97E69C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Estimate</w:t>
            </w:r>
          </w:p>
        </w:tc>
      </w:tr>
      <w:tr w:rsidR="00637A95" w:rsidRPr="0030131B" w14:paraId="35C96C47" w14:textId="77777777">
        <w:tc>
          <w:tcPr>
            <w:tcW w:w="0" w:type="auto"/>
          </w:tcPr>
          <w:p w14:paraId="1933FB14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Total international students in Japan</w:t>
            </w:r>
          </w:p>
        </w:tc>
        <w:tc>
          <w:tcPr>
            <w:tcW w:w="0" w:type="auto"/>
          </w:tcPr>
          <w:p w14:paraId="7A33F19F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350,000</w:t>
            </w:r>
          </w:p>
        </w:tc>
      </w:tr>
      <w:tr w:rsidR="00637A95" w:rsidRPr="0030131B" w14:paraId="2875670B" w14:textId="77777777">
        <w:tc>
          <w:tcPr>
            <w:tcW w:w="0" w:type="auto"/>
          </w:tcPr>
          <w:p w14:paraId="0B4BC1E1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Actively connected to Christian ministry (5–8%)</w:t>
            </w:r>
          </w:p>
        </w:tc>
        <w:tc>
          <w:tcPr>
            <w:tcW w:w="0" w:type="auto"/>
          </w:tcPr>
          <w:p w14:paraId="74597F4B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17,500 – 28,000</w:t>
            </w:r>
          </w:p>
        </w:tc>
      </w:tr>
      <w:tr w:rsidR="00637A95" w:rsidRPr="0030131B" w14:paraId="471CF195" w14:textId="77777777">
        <w:tc>
          <w:tcPr>
            <w:tcW w:w="0" w:type="auto"/>
          </w:tcPr>
          <w:p w14:paraId="3AFEE225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Within ISM network reach (IFI, KGK, CCC, JCMN)</w:t>
            </w:r>
          </w:p>
        </w:tc>
        <w:tc>
          <w:tcPr>
            <w:tcW w:w="0" w:type="auto"/>
          </w:tcPr>
          <w:p w14:paraId="5F36746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3,000 – 8,000</w:t>
            </w:r>
          </w:p>
        </w:tc>
      </w:tr>
      <w:tr w:rsidR="00637A95" w:rsidRPr="0030131B" w14:paraId="54EE33F9" w14:textId="77777777">
        <w:tc>
          <w:tcPr>
            <w:tcW w:w="0" w:type="auto"/>
          </w:tcPr>
          <w:p w14:paraId="3C6CAA42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Entrepreneurially minded (25–35%)</w:t>
            </w:r>
          </w:p>
        </w:tc>
        <w:tc>
          <w:tcPr>
            <w:tcW w:w="0" w:type="auto"/>
          </w:tcPr>
          <w:p w14:paraId="2FCC8A9B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750 – 2,800</w:t>
            </w:r>
          </w:p>
        </w:tc>
      </w:tr>
      <w:tr w:rsidR="00637A95" w:rsidRPr="0030131B" w14:paraId="22CEE477" w14:textId="77777777">
        <w:tc>
          <w:tcPr>
            <w:tcW w:w="0" w:type="auto"/>
          </w:tcPr>
          <w:p w14:paraId="514CC53A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Eligible and motivated for Mujin</w:t>
            </w:r>
          </w:p>
        </w:tc>
        <w:tc>
          <w:tcPr>
            <w:tcW w:w="0" w:type="auto"/>
          </w:tcPr>
          <w:p w14:paraId="09371FE2" w14:textId="77777777" w:rsidR="00637A95" w:rsidRPr="0030131B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30131B">
              <w:rPr>
                <w:rFonts w:ascii="Times New Roman" w:hAnsi="Times New Roman" w:cs="Times New Roman"/>
                <w:color w:val="000000" w:themeColor="text1"/>
              </w:rPr>
              <w:t>150 – 560</w:t>
            </w:r>
          </w:p>
        </w:tc>
      </w:tr>
    </w:tbl>
    <w:p w14:paraId="761F6804" w14:textId="77777777" w:rsidR="00637A95" w:rsidRPr="0030131B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 xml:space="preserve">Year 1 set at 15: No students contacted yet as of March 2026. First cohort is relationship-gated through pastor introductions. 15 students </w:t>
      </w:r>
      <w:proofErr w:type="gramStart"/>
      <w:r w:rsidRPr="0030131B">
        <w:rPr>
          <w:rFonts w:ascii="Times New Roman" w:hAnsi="Times New Roman" w:cs="Times New Roman"/>
          <w:color w:val="000000" w:themeColor="text1"/>
        </w:rPr>
        <w:t>requires</w:t>
      </w:r>
      <w:proofErr w:type="gramEnd"/>
      <w:r w:rsidRPr="0030131B">
        <w:rPr>
          <w:rFonts w:ascii="Times New Roman" w:hAnsi="Times New Roman" w:cs="Times New Roman"/>
          <w:color w:val="000000" w:themeColor="text1"/>
        </w:rPr>
        <w:t xml:space="preserve"> 2–3 active pastor relationships — achievable within the launch timeline. Ceiling of 50 reflects original pilot target and requires near-full ISM network mobilization.</w:t>
      </w:r>
    </w:p>
    <w:p w14:paraId="2DE669E6" w14:textId="4BA88AE4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7B796D8D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entrepreneurship-intent-3541"/>
      <w:bookmarkEnd w:id="16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Entrepreneurship Intent — 35–41%</w:t>
      </w:r>
    </w:p>
    <w:p w14:paraId="7C6CA19F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Sources: Gallup / Lumina Foundation survey data, Kauffman Foundation research. Actual attempt rate is 7–10% — one in ten who express intent follow through. Mujin targets only students with demonstrated entrepreneurial vision, filtered by pastor recommendation, not the general student population.</w:t>
      </w:r>
    </w:p>
    <w:p w14:paraId="6E814413" w14:textId="1BE530C9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701D7BB8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m-raise-plausibility"/>
      <w:bookmarkEnd w:id="17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$1M Raise Plausibility</w:t>
      </w:r>
    </w:p>
    <w:p w14:paraId="3620348F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Three inputs: Andrew Feng’s direct knowledge that IFI has raised $1M quickly through the ISM donor network. Frontier Commons self-funded staff model eliminates the largest cost category typical of comparable programs. Original roadmap target of ¥50M confirmed insufficient once operational self-sufficiency through co-working revenue was modeled — $1M is the figure that fully funds the reserve and removes fundraising pressure for 7+ years.</w:t>
      </w:r>
    </w:p>
    <w:p w14:paraId="0C8D2F63" w14:textId="428D4E56" w:rsidR="00637A95" w:rsidRPr="0030131B" w:rsidRDefault="00637A95">
      <w:pPr>
        <w:rPr>
          <w:rFonts w:ascii="Times New Roman" w:hAnsi="Times New Roman" w:cs="Times New Roman"/>
          <w:color w:val="000000" w:themeColor="text1"/>
        </w:rPr>
      </w:pPr>
    </w:p>
    <w:p w14:paraId="1F5FAFD9" w14:textId="77777777" w:rsidR="00637A95" w:rsidRPr="0030131B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zero-operational-cost-to-donors"/>
      <w:bookmarkEnd w:id="18"/>
      <w:r w:rsidRPr="0030131B">
        <w:rPr>
          <w:rFonts w:ascii="Times New Roman" w:hAnsi="Times New Roman" w:cs="Times New Roman"/>
          <w:color w:val="000000" w:themeColor="text1"/>
          <w:sz w:val="24"/>
          <w:szCs w:val="24"/>
        </w:rPr>
        <w:t>Zero Operational Cost to Donors</w:t>
      </w:r>
    </w:p>
    <w:p w14:paraId="34E9EB3A" w14:textId="77777777" w:rsidR="00637A95" w:rsidRPr="0030131B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30131B">
        <w:rPr>
          <w:rFonts w:ascii="Times New Roman" w:hAnsi="Times New Roman" w:cs="Times New Roman"/>
          <w:color w:val="000000" w:themeColor="text1"/>
        </w:rPr>
        <w:t>Three independent structural confirmations: students pay ¥10,000/month covering 80% of operations through co-working revenue; staff self-fund under the Frontier Commons support-</w:t>
      </w:r>
      <w:r w:rsidRPr="0030131B">
        <w:rPr>
          <w:rFonts w:ascii="Times New Roman" w:hAnsi="Times New Roman" w:cs="Times New Roman"/>
          <w:color w:val="000000" w:themeColor="text1"/>
        </w:rPr>
        <w:lastRenderedPageBreak/>
        <w:t>raising model; admin and mentors work remotely or in public spaces with no office overhead. These are program design features, not projections.</w:t>
      </w:r>
    </w:p>
    <w:p w14:paraId="4F64C4C6" w14:textId="080BE051" w:rsidR="00637A95" w:rsidRPr="0030131B" w:rsidRDefault="00637A95" w:rsidP="0030131B">
      <w:pPr>
        <w:pStyle w:val="Compact"/>
        <w:rPr>
          <w:rFonts w:ascii="Times New Roman" w:hAnsi="Times New Roman" w:cs="Times New Roman"/>
          <w:color w:val="000000" w:themeColor="text1"/>
        </w:rPr>
      </w:pPr>
      <w:bookmarkStart w:id="20" w:name="design-notes-canva"/>
      <w:bookmarkEnd w:id="0"/>
      <w:bookmarkEnd w:id="10"/>
      <w:bookmarkEnd w:id="19"/>
      <w:bookmarkEnd w:id="20"/>
    </w:p>
    <w:sectPr w:rsidR="00637A95" w:rsidRPr="003013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2241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2A59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2784343">
    <w:abstractNumId w:val="0"/>
  </w:num>
  <w:num w:numId="2" w16cid:durableId="1816291877">
    <w:abstractNumId w:val="1"/>
  </w:num>
  <w:num w:numId="3" w16cid:durableId="212207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7A95"/>
    <w:rsid w:val="001E3E06"/>
    <w:rsid w:val="0030131B"/>
    <w:rsid w:val="00637A95"/>
    <w:rsid w:val="0071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6069"/>
  <w15:docId w15:val="{DA97F2BD-F6EC-F945-BFDD-5192D7AF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1056</Words>
  <Characters>6072</Characters>
  <Application>Microsoft Office Word</Application>
  <DocSecurity>0</DocSecurity>
  <Lines>205</Lines>
  <Paragraphs>121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 Ahn</cp:lastModifiedBy>
  <cp:revision>3</cp:revision>
  <dcterms:created xsi:type="dcterms:W3CDTF">2026-03-19T15:56:00Z</dcterms:created>
  <dcterms:modified xsi:type="dcterms:W3CDTF">2026-03-19T17:14:00Z</dcterms:modified>
</cp:coreProperties>
</file>