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F913" w14:textId="77777777" w:rsidR="00114486" w:rsidRPr="005D749F" w:rsidRDefault="00000000">
      <w:pPr>
        <w:pStyle w:val="Heading2"/>
        <w:rPr>
          <w:rFonts w:ascii="Times New Roman" w:hAnsi="Times New Roman" w:cs="Times New Roman"/>
          <w:color w:val="000000" w:themeColor="text1"/>
          <w:sz w:val="24"/>
          <w:szCs w:val="24"/>
        </w:rPr>
      </w:pPr>
      <w:bookmarkStart w:id="0" w:name="X6f725edfa028253c8b0348df0baee995e5914f6"/>
      <w:bookmarkStart w:id="1" w:name="abstract"/>
      <w:r w:rsidRPr="005D749F">
        <w:rPr>
          <w:rFonts w:ascii="Times New Roman" w:hAnsi="Times New Roman" w:cs="Times New Roman"/>
          <w:color w:val="000000" w:themeColor="text1"/>
          <w:sz w:val="24"/>
          <w:szCs w:val="24"/>
        </w:rPr>
        <w:t>Abstract</w:t>
      </w:r>
    </w:p>
    <w:p w14:paraId="0A9F52AE"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Japan hosts approximately 350,000 international students, the majority of whom are systematically excluded from the country’s mainstream financial infrastructure due to the absence of domestic credit history, co-signers, and employment records recognized by Japanese financial institutions. This exclusion has become structurally more severe following the October 2025 revision to the Business Manager Visa requirements, which increased the minimum capital threshold from ¥5,000,000 to ¥30,000,000. Concurrently, the Protestant church in Japan faces projected closure of approximately 50% of its congregations by 2030 due to aging membership and pastoral shortages (Seventh Japan Congress on Evangelism, 2024).</w:t>
      </w:r>
    </w:p>
    <w:p w14:paraId="1D338B98"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This report presents Mujin 2.0, a trust-based recyclable grant program designed to address the financial exclusion of international students with entrepreneurial vision through a three-layered model: a Religious Corporation legal structure with Deemed Donation tax provisions, a church-based physical co-working infrastructure, and a behavioral Trust Score system that converts demonstrated social accountability into recognized credit credibility. The program deploys ¥500,000 per student as a non-binding covenant grant, recoverable upon venture success through voluntary pledge. A seven-year financial projection demonstrates that a ¥158,700,000 ($1,000,000 USD) raise funds 275 students, maintains a ¥65.3 million reserve through year seven, and achieves structural financial self-reinforcement as recycled capital accelerates from year three onward. All operational costs are self-funded through student co-working revenue, resulting in zero overhead dependency on donor capital.</w:t>
      </w:r>
    </w:p>
    <w:p w14:paraId="5D7F0A67" w14:textId="16890345" w:rsidR="00114486" w:rsidRDefault="00114486">
      <w:pPr>
        <w:rPr>
          <w:rFonts w:ascii="Times New Roman" w:hAnsi="Times New Roman" w:cs="Times New Roman"/>
          <w:color w:val="000000" w:themeColor="text1"/>
        </w:rPr>
      </w:pPr>
    </w:p>
    <w:p w14:paraId="03499585" w14:textId="77777777" w:rsidR="005D749F" w:rsidRDefault="005D749F">
      <w:pPr>
        <w:rPr>
          <w:rFonts w:ascii="Times New Roman" w:hAnsi="Times New Roman" w:cs="Times New Roman"/>
          <w:color w:val="000000" w:themeColor="text1"/>
        </w:rPr>
      </w:pPr>
    </w:p>
    <w:p w14:paraId="7CAFD19D" w14:textId="77777777" w:rsidR="005D749F" w:rsidRDefault="005D749F">
      <w:pPr>
        <w:rPr>
          <w:rFonts w:ascii="Times New Roman" w:hAnsi="Times New Roman" w:cs="Times New Roman"/>
          <w:color w:val="000000" w:themeColor="text1"/>
        </w:rPr>
      </w:pPr>
    </w:p>
    <w:p w14:paraId="58150123" w14:textId="77777777" w:rsidR="005D749F" w:rsidRDefault="005D749F">
      <w:pPr>
        <w:rPr>
          <w:rFonts w:ascii="Times New Roman" w:hAnsi="Times New Roman" w:cs="Times New Roman"/>
          <w:color w:val="000000" w:themeColor="text1"/>
        </w:rPr>
      </w:pPr>
    </w:p>
    <w:p w14:paraId="3BFB0AC9" w14:textId="77777777" w:rsidR="005D749F" w:rsidRDefault="005D749F">
      <w:pPr>
        <w:rPr>
          <w:rFonts w:ascii="Times New Roman" w:hAnsi="Times New Roman" w:cs="Times New Roman"/>
          <w:color w:val="000000" w:themeColor="text1"/>
        </w:rPr>
      </w:pPr>
    </w:p>
    <w:p w14:paraId="53322099" w14:textId="77777777" w:rsidR="005D749F" w:rsidRDefault="005D749F">
      <w:pPr>
        <w:rPr>
          <w:rFonts w:ascii="Times New Roman" w:hAnsi="Times New Roman" w:cs="Times New Roman"/>
          <w:color w:val="000000" w:themeColor="text1"/>
        </w:rPr>
      </w:pPr>
    </w:p>
    <w:p w14:paraId="3C94B939" w14:textId="77777777" w:rsidR="005D749F" w:rsidRDefault="005D749F">
      <w:pPr>
        <w:rPr>
          <w:rFonts w:ascii="Times New Roman" w:hAnsi="Times New Roman" w:cs="Times New Roman"/>
          <w:color w:val="000000" w:themeColor="text1"/>
        </w:rPr>
      </w:pPr>
    </w:p>
    <w:p w14:paraId="5BCCA013" w14:textId="77777777" w:rsidR="005D749F" w:rsidRDefault="005D749F">
      <w:pPr>
        <w:rPr>
          <w:rFonts w:ascii="Times New Roman" w:hAnsi="Times New Roman" w:cs="Times New Roman"/>
          <w:color w:val="000000" w:themeColor="text1"/>
        </w:rPr>
      </w:pPr>
    </w:p>
    <w:p w14:paraId="2A9B2228" w14:textId="77777777" w:rsidR="005D749F" w:rsidRDefault="005D749F">
      <w:pPr>
        <w:rPr>
          <w:rFonts w:ascii="Times New Roman" w:hAnsi="Times New Roman" w:cs="Times New Roman"/>
          <w:color w:val="000000" w:themeColor="text1"/>
        </w:rPr>
      </w:pPr>
    </w:p>
    <w:p w14:paraId="4C529E37" w14:textId="77777777" w:rsidR="005D749F" w:rsidRDefault="005D749F">
      <w:pPr>
        <w:rPr>
          <w:rFonts w:ascii="Times New Roman" w:hAnsi="Times New Roman" w:cs="Times New Roman"/>
          <w:color w:val="000000" w:themeColor="text1"/>
        </w:rPr>
      </w:pPr>
    </w:p>
    <w:p w14:paraId="623D0083" w14:textId="77777777" w:rsidR="005D749F" w:rsidRDefault="005D749F">
      <w:pPr>
        <w:rPr>
          <w:rFonts w:ascii="Times New Roman" w:hAnsi="Times New Roman" w:cs="Times New Roman"/>
          <w:color w:val="000000" w:themeColor="text1"/>
        </w:rPr>
      </w:pPr>
    </w:p>
    <w:p w14:paraId="36F2286B" w14:textId="77777777" w:rsidR="005D749F" w:rsidRDefault="005D749F">
      <w:pPr>
        <w:rPr>
          <w:rFonts w:ascii="Times New Roman" w:hAnsi="Times New Roman" w:cs="Times New Roman"/>
          <w:color w:val="000000" w:themeColor="text1"/>
        </w:rPr>
      </w:pPr>
    </w:p>
    <w:p w14:paraId="759914AE" w14:textId="77777777" w:rsidR="005D749F" w:rsidRDefault="005D749F">
      <w:pPr>
        <w:rPr>
          <w:rFonts w:ascii="Times New Roman" w:hAnsi="Times New Roman" w:cs="Times New Roman"/>
          <w:color w:val="000000" w:themeColor="text1"/>
        </w:rPr>
      </w:pPr>
    </w:p>
    <w:p w14:paraId="41669AEE" w14:textId="77777777" w:rsidR="005D749F" w:rsidRDefault="005D749F">
      <w:pPr>
        <w:rPr>
          <w:rFonts w:ascii="Times New Roman" w:hAnsi="Times New Roman" w:cs="Times New Roman"/>
          <w:color w:val="000000" w:themeColor="text1"/>
        </w:rPr>
      </w:pPr>
    </w:p>
    <w:p w14:paraId="4EB69C0C" w14:textId="77777777" w:rsidR="005D749F" w:rsidRDefault="005D749F">
      <w:pPr>
        <w:rPr>
          <w:rFonts w:ascii="Times New Roman" w:hAnsi="Times New Roman" w:cs="Times New Roman"/>
          <w:color w:val="000000" w:themeColor="text1"/>
        </w:rPr>
      </w:pPr>
    </w:p>
    <w:p w14:paraId="229AC007" w14:textId="77777777" w:rsidR="005D749F" w:rsidRDefault="005D749F">
      <w:pPr>
        <w:rPr>
          <w:rFonts w:ascii="Times New Roman" w:hAnsi="Times New Roman" w:cs="Times New Roman"/>
          <w:color w:val="000000" w:themeColor="text1"/>
        </w:rPr>
      </w:pPr>
    </w:p>
    <w:p w14:paraId="48C5B923" w14:textId="77777777" w:rsidR="005D749F" w:rsidRDefault="005D749F">
      <w:pPr>
        <w:rPr>
          <w:rFonts w:ascii="Times New Roman" w:hAnsi="Times New Roman" w:cs="Times New Roman"/>
          <w:color w:val="000000" w:themeColor="text1"/>
        </w:rPr>
      </w:pPr>
    </w:p>
    <w:p w14:paraId="4F6D70F6" w14:textId="77777777" w:rsidR="005D749F" w:rsidRPr="005D749F" w:rsidRDefault="005D749F">
      <w:pPr>
        <w:rPr>
          <w:rFonts w:ascii="Times New Roman" w:hAnsi="Times New Roman" w:cs="Times New Roman"/>
          <w:color w:val="000000" w:themeColor="text1"/>
        </w:rPr>
      </w:pPr>
    </w:p>
    <w:p w14:paraId="6DBEF67E" w14:textId="77777777" w:rsidR="00114486" w:rsidRPr="005D749F" w:rsidRDefault="00000000">
      <w:pPr>
        <w:pStyle w:val="Heading2"/>
        <w:rPr>
          <w:rFonts w:ascii="Times New Roman" w:hAnsi="Times New Roman" w:cs="Times New Roman"/>
          <w:color w:val="000000" w:themeColor="text1"/>
          <w:sz w:val="24"/>
          <w:szCs w:val="24"/>
        </w:rPr>
      </w:pPr>
      <w:bookmarkStart w:id="2" w:name="table-of-contents"/>
      <w:bookmarkEnd w:id="1"/>
      <w:r w:rsidRPr="005D749F">
        <w:rPr>
          <w:rFonts w:ascii="Times New Roman" w:hAnsi="Times New Roman" w:cs="Times New Roman"/>
          <w:color w:val="000000" w:themeColor="text1"/>
          <w:sz w:val="24"/>
          <w:szCs w:val="24"/>
        </w:rPr>
        <w:t>Table of Contents</w:t>
      </w:r>
    </w:p>
    <w:p w14:paraId="52034140" w14:textId="77777777" w:rsidR="00114486" w:rsidRPr="005D749F" w:rsidRDefault="00000000">
      <w:pPr>
        <w:pStyle w:val="Compact"/>
        <w:numPr>
          <w:ilvl w:val="0"/>
          <w:numId w:val="2"/>
        </w:numPr>
        <w:rPr>
          <w:rFonts w:ascii="Times New Roman" w:hAnsi="Times New Roman" w:cs="Times New Roman"/>
          <w:color w:val="000000" w:themeColor="text1"/>
        </w:rPr>
      </w:pPr>
      <w:r w:rsidRPr="005D749F">
        <w:rPr>
          <w:rFonts w:ascii="Times New Roman" w:hAnsi="Times New Roman" w:cs="Times New Roman"/>
          <w:color w:val="000000" w:themeColor="text1"/>
        </w:rPr>
        <w:t>Introduction</w:t>
      </w:r>
    </w:p>
    <w:p w14:paraId="61EB094B" w14:textId="77777777" w:rsidR="00114486" w:rsidRPr="005D749F" w:rsidRDefault="00000000">
      <w:pPr>
        <w:pStyle w:val="Compact"/>
        <w:numPr>
          <w:ilvl w:val="0"/>
          <w:numId w:val="2"/>
        </w:numPr>
        <w:rPr>
          <w:rFonts w:ascii="Times New Roman" w:hAnsi="Times New Roman" w:cs="Times New Roman"/>
          <w:color w:val="000000" w:themeColor="text1"/>
        </w:rPr>
      </w:pPr>
      <w:r w:rsidRPr="005D749F">
        <w:rPr>
          <w:rFonts w:ascii="Times New Roman" w:hAnsi="Times New Roman" w:cs="Times New Roman"/>
          <w:color w:val="000000" w:themeColor="text1"/>
        </w:rPr>
        <w:t>Background and Contextual Analysis</w:t>
      </w:r>
    </w:p>
    <w:p w14:paraId="10D0624F" w14:textId="77777777" w:rsidR="00114486" w:rsidRPr="005D749F" w:rsidRDefault="00000000">
      <w:pPr>
        <w:pStyle w:val="Compact"/>
        <w:numPr>
          <w:ilvl w:val="1"/>
          <w:numId w:val="3"/>
        </w:numPr>
        <w:rPr>
          <w:rFonts w:ascii="Times New Roman" w:hAnsi="Times New Roman" w:cs="Times New Roman"/>
          <w:color w:val="000000" w:themeColor="text1"/>
        </w:rPr>
      </w:pPr>
      <w:r w:rsidRPr="005D749F">
        <w:rPr>
          <w:rFonts w:ascii="Times New Roman" w:hAnsi="Times New Roman" w:cs="Times New Roman"/>
          <w:color w:val="000000" w:themeColor="text1"/>
        </w:rPr>
        <w:t>2.1 International Students and Financial Exclusion in Japan</w:t>
      </w:r>
    </w:p>
    <w:p w14:paraId="25581EEF" w14:textId="77777777" w:rsidR="00114486" w:rsidRPr="005D749F" w:rsidRDefault="00000000">
      <w:pPr>
        <w:pStyle w:val="Compact"/>
        <w:numPr>
          <w:ilvl w:val="1"/>
          <w:numId w:val="3"/>
        </w:numPr>
        <w:rPr>
          <w:rFonts w:ascii="Times New Roman" w:hAnsi="Times New Roman" w:cs="Times New Roman"/>
          <w:color w:val="000000" w:themeColor="text1"/>
        </w:rPr>
      </w:pPr>
      <w:r w:rsidRPr="005D749F">
        <w:rPr>
          <w:rFonts w:ascii="Times New Roman" w:hAnsi="Times New Roman" w:cs="Times New Roman"/>
          <w:color w:val="000000" w:themeColor="text1"/>
        </w:rPr>
        <w:t>2.2 The Business Manager Visa Regulatory Crisis</w:t>
      </w:r>
    </w:p>
    <w:p w14:paraId="40A76D13" w14:textId="77777777" w:rsidR="00114486" w:rsidRPr="005D749F" w:rsidRDefault="00000000">
      <w:pPr>
        <w:pStyle w:val="Compact"/>
        <w:numPr>
          <w:ilvl w:val="1"/>
          <w:numId w:val="3"/>
        </w:numPr>
        <w:rPr>
          <w:rFonts w:ascii="Times New Roman" w:hAnsi="Times New Roman" w:cs="Times New Roman"/>
          <w:color w:val="000000" w:themeColor="text1"/>
        </w:rPr>
      </w:pPr>
      <w:r w:rsidRPr="005D749F">
        <w:rPr>
          <w:rFonts w:ascii="Times New Roman" w:hAnsi="Times New Roman" w:cs="Times New Roman"/>
          <w:color w:val="000000" w:themeColor="text1"/>
        </w:rPr>
        <w:t>2.3 The Protestant Church 2030 Problem</w:t>
      </w:r>
    </w:p>
    <w:p w14:paraId="721038DB" w14:textId="77777777" w:rsidR="00114486" w:rsidRPr="005D749F" w:rsidRDefault="00000000">
      <w:pPr>
        <w:pStyle w:val="Compact"/>
        <w:numPr>
          <w:ilvl w:val="1"/>
          <w:numId w:val="3"/>
        </w:numPr>
        <w:rPr>
          <w:rFonts w:ascii="Times New Roman" w:hAnsi="Times New Roman" w:cs="Times New Roman"/>
          <w:color w:val="000000" w:themeColor="text1"/>
        </w:rPr>
      </w:pPr>
      <w:r w:rsidRPr="005D749F">
        <w:rPr>
          <w:rFonts w:ascii="Times New Roman" w:hAnsi="Times New Roman" w:cs="Times New Roman"/>
          <w:color w:val="000000" w:themeColor="text1"/>
        </w:rPr>
        <w:t>2.4 Japan’s Broader Financial Exclusion Landscape</w:t>
      </w:r>
    </w:p>
    <w:p w14:paraId="73622A48" w14:textId="77777777" w:rsidR="00114486" w:rsidRPr="005D749F" w:rsidRDefault="00000000">
      <w:pPr>
        <w:pStyle w:val="Compact"/>
        <w:numPr>
          <w:ilvl w:val="0"/>
          <w:numId w:val="2"/>
        </w:numPr>
        <w:rPr>
          <w:rFonts w:ascii="Times New Roman" w:hAnsi="Times New Roman" w:cs="Times New Roman"/>
          <w:color w:val="000000" w:themeColor="text1"/>
        </w:rPr>
      </w:pPr>
      <w:r w:rsidRPr="005D749F">
        <w:rPr>
          <w:rFonts w:ascii="Times New Roman" w:hAnsi="Times New Roman" w:cs="Times New Roman"/>
          <w:color w:val="000000" w:themeColor="text1"/>
        </w:rPr>
        <w:t xml:space="preserve">Historical Foundation: The </w:t>
      </w:r>
      <w:r w:rsidRPr="005D749F">
        <w:rPr>
          <w:rFonts w:ascii="Times New Roman" w:hAnsi="Times New Roman" w:cs="Times New Roman"/>
          <w:color w:val="000000" w:themeColor="text1"/>
        </w:rPr>
        <w:t>無尽講</w:t>
      </w:r>
      <w:r w:rsidRPr="005D749F">
        <w:rPr>
          <w:rFonts w:ascii="Times New Roman" w:hAnsi="Times New Roman" w:cs="Times New Roman"/>
          <w:color w:val="000000" w:themeColor="text1"/>
        </w:rPr>
        <w:t xml:space="preserve"> Tradition</w:t>
      </w:r>
    </w:p>
    <w:p w14:paraId="17FD0E9C" w14:textId="77777777" w:rsidR="00114486" w:rsidRPr="005D749F" w:rsidRDefault="00000000">
      <w:pPr>
        <w:pStyle w:val="Compact"/>
        <w:numPr>
          <w:ilvl w:val="0"/>
          <w:numId w:val="2"/>
        </w:numPr>
        <w:rPr>
          <w:rFonts w:ascii="Times New Roman" w:hAnsi="Times New Roman" w:cs="Times New Roman"/>
          <w:color w:val="000000" w:themeColor="text1"/>
        </w:rPr>
      </w:pPr>
      <w:r w:rsidRPr="005D749F">
        <w:rPr>
          <w:rFonts w:ascii="Times New Roman" w:hAnsi="Times New Roman" w:cs="Times New Roman"/>
          <w:color w:val="000000" w:themeColor="text1"/>
        </w:rPr>
        <w:t>Competitive Landscape</w:t>
      </w:r>
    </w:p>
    <w:p w14:paraId="62263349" w14:textId="77777777" w:rsidR="00114486" w:rsidRPr="005D749F" w:rsidRDefault="00000000">
      <w:pPr>
        <w:pStyle w:val="Compact"/>
        <w:numPr>
          <w:ilvl w:val="0"/>
          <w:numId w:val="2"/>
        </w:numPr>
        <w:rPr>
          <w:rFonts w:ascii="Times New Roman" w:hAnsi="Times New Roman" w:cs="Times New Roman"/>
          <w:color w:val="000000" w:themeColor="text1"/>
        </w:rPr>
      </w:pPr>
      <w:r w:rsidRPr="005D749F">
        <w:rPr>
          <w:rFonts w:ascii="Times New Roman" w:hAnsi="Times New Roman" w:cs="Times New Roman"/>
          <w:color w:val="000000" w:themeColor="text1"/>
        </w:rPr>
        <w:t>Legal and Regulatory Framework</w:t>
      </w:r>
    </w:p>
    <w:p w14:paraId="6E8A75B2" w14:textId="77777777" w:rsidR="00114486" w:rsidRPr="005D749F" w:rsidRDefault="00000000">
      <w:pPr>
        <w:pStyle w:val="Compact"/>
        <w:numPr>
          <w:ilvl w:val="1"/>
          <w:numId w:val="4"/>
        </w:numPr>
        <w:rPr>
          <w:rFonts w:ascii="Times New Roman" w:hAnsi="Times New Roman" w:cs="Times New Roman"/>
          <w:color w:val="000000" w:themeColor="text1"/>
        </w:rPr>
      </w:pPr>
      <w:r w:rsidRPr="005D749F">
        <w:rPr>
          <w:rFonts w:ascii="Times New Roman" w:hAnsi="Times New Roman" w:cs="Times New Roman"/>
          <w:color w:val="000000" w:themeColor="text1"/>
        </w:rPr>
        <w:t>5.1 The Money Lending Business Act</w:t>
      </w:r>
    </w:p>
    <w:p w14:paraId="50D2295F" w14:textId="77777777" w:rsidR="00114486" w:rsidRPr="005D749F" w:rsidRDefault="00000000">
      <w:pPr>
        <w:pStyle w:val="Compact"/>
        <w:numPr>
          <w:ilvl w:val="1"/>
          <w:numId w:val="4"/>
        </w:numPr>
        <w:rPr>
          <w:rFonts w:ascii="Times New Roman" w:hAnsi="Times New Roman" w:cs="Times New Roman"/>
          <w:color w:val="000000" w:themeColor="text1"/>
        </w:rPr>
      </w:pPr>
      <w:r w:rsidRPr="005D749F">
        <w:rPr>
          <w:rFonts w:ascii="Times New Roman" w:hAnsi="Times New Roman" w:cs="Times New Roman"/>
          <w:color w:val="000000" w:themeColor="text1"/>
        </w:rPr>
        <w:t>5.2 The Religious Corporation Structure</w:t>
      </w:r>
    </w:p>
    <w:p w14:paraId="2989F728" w14:textId="77777777" w:rsidR="00114486" w:rsidRPr="005D749F" w:rsidRDefault="00000000">
      <w:pPr>
        <w:pStyle w:val="Compact"/>
        <w:numPr>
          <w:ilvl w:val="1"/>
          <w:numId w:val="4"/>
        </w:numPr>
        <w:rPr>
          <w:rFonts w:ascii="Times New Roman" w:hAnsi="Times New Roman" w:cs="Times New Roman"/>
          <w:color w:val="000000" w:themeColor="text1"/>
        </w:rPr>
      </w:pPr>
      <w:r w:rsidRPr="005D749F">
        <w:rPr>
          <w:rFonts w:ascii="Times New Roman" w:hAnsi="Times New Roman" w:cs="Times New Roman"/>
          <w:color w:val="000000" w:themeColor="text1"/>
        </w:rPr>
        <w:t>5.3 The Deemed Donation Mechanism</w:t>
      </w:r>
    </w:p>
    <w:p w14:paraId="2CDB849C" w14:textId="77777777" w:rsidR="00114486" w:rsidRPr="005D749F" w:rsidRDefault="00000000">
      <w:pPr>
        <w:pStyle w:val="Compact"/>
        <w:numPr>
          <w:ilvl w:val="0"/>
          <w:numId w:val="2"/>
        </w:numPr>
        <w:rPr>
          <w:rFonts w:ascii="Times New Roman" w:hAnsi="Times New Roman" w:cs="Times New Roman"/>
          <w:color w:val="000000" w:themeColor="text1"/>
        </w:rPr>
      </w:pPr>
      <w:r w:rsidRPr="005D749F">
        <w:rPr>
          <w:rFonts w:ascii="Times New Roman" w:hAnsi="Times New Roman" w:cs="Times New Roman"/>
          <w:color w:val="000000" w:themeColor="text1"/>
        </w:rPr>
        <w:t>The Mujin 2.0 Model</w:t>
      </w:r>
    </w:p>
    <w:p w14:paraId="7C7B2EA8" w14:textId="77777777" w:rsidR="00114486" w:rsidRPr="005D749F" w:rsidRDefault="00000000">
      <w:pPr>
        <w:pStyle w:val="Compact"/>
        <w:numPr>
          <w:ilvl w:val="1"/>
          <w:numId w:val="5"/>
        </w:numPr>
        <w:rPr>
          <w:rFonts w:ascii="Times New Roman" w:hAnsi="Times New Roman" w:cs="Times New Roman"/>
          <w:color w:val="000000" w:themeColor="text1"/>
        </w:rPr>
      </w:pPr>
      <w:r w:rsidRPr="005D749F">
        <w:rPr>
          <w:rFonts w:ascii="Times New Roman" w:hAnsi="Times New Roman" w:cs="Times New Roman"/>
          <w:color w:val="000000" w:themeColor="text1"/>
        </w:rPr>
        <w:t>6.1 The Recyclable Grant</w:t>
      </w:r>
    </w:p>
    <w:p w14:paraId="1CB9E901" w14:textId="77777777" w:rsidR="00114486" w:rsidRPr="005D749F" w:rsidRDefault="00000000">
      <w:pPr>
        <w:pStyle w:val="Compact"/>
        <w:numPr>
          <w:ilvl w:val="1"/>
          <w:numId w:val="5"/>
        </w:numPr>
        <w:rPr>
          <w:rFonts w:ascii="Times New Roman" w:hAnsi="Times New Roman" w:cs="Times New Roman"/>
          <w:color w:val="000000" w:themeColor="text1"/>
        </w:rPr>
      </w:pPr>
      <w:r w:rsidRPr="005D749F">
        <w:rPr>
          <w:rFonts w:ascii="Times New Roman" w:hAnsi="Times New Roman" w:cs="Times New Roman"/>
          <w:color w:val="000000" w:themeColor="text1"/>
        </w:rPr>
        <w:t>6.2 The Physical Layer</w:t>
      </w:r>
    </w:p>
    <w:p w14:paraId="232C9C83" w14:textId="77777777" w:rsidR="00114486" w:rsidRPr="005D749F" w:rsidRDefault="00000000">
      <w:pPr>
        <w:pStyle w:val="Compact"/>
        <w:numPr>
          <w:ilvl w:val="1"/>
          <w:numId w:val="5"/>
        </w:numPr>
        <w:rPr>
          <w:rFonts w:ascii="Times New Roman" w:hAnsi="Times New Roman" w:cs="Times New Roman"/>
          <w:color w:val="000000" w:themeColor="text1"/>
        </w:rPr>
      </w:pPr>
      <w:r w:rsidRPr="005D749F">
        <w:rPr>
          <w:rFonts w:ascii="Times New Roman" w:hAnsi="Times New Roman" w:cs="Times New Roman"/>
          <w:color w:val="000000" w:themeColor="text1"/>
        </w:rPr>
        <w:t>6.3 The Trust Engine</w:t>
      </w:r>
    </w:p>
    <w:p w14:paraId="017D1C92" w14:textId="77777777" w:rsidR="00114486" w:rsidRPr="005D749F" w:rsidRDefault="00000000">
      <w:pPr>
        <w:pStyle w:val="Compact"/>
        <w:numPr>
          <w:ilvl w:val="1"/>
          <w:numId w:val="5"/>
        </w:numPr>
        <w:rPr>
          <w:rFonts w:ascii="Times New Roman" w:hAnsi="Times New Roman" w:cs="Times New Roman"/>
          <w:color w:val="000000" w:themeColor="text1"/>
        </w:rPr>
      </w:pPr>
      <w:r w:rsidRPr="005D749F">
        <w:rPr>
          <w:rFonts w:ascii="Times New Roman" w:hAnsi="Times New Roman" w:cs="Times New Roman"/>
          <w:color w:val="000000" w:themeColor="text1"/>
        </w:rPr>
        <w:t>6.4 Graduation and Institutional Handshake</w:t>
      </w:r>
    </w:p>
    <w:p w14:paraId="37BDAB63" w14:textId="77777777" w:rsidR="00114486" w:rsidRPr="005D749F" w:rsidRDefault="00000000">
      <w:pPr>
        <w:pStyle w:val="Compact"/>
        <w:numPr>
          <w:ilvl w:val="0"/>
          <w:numId w:val="2"/>
        </w:numPr>
        <w:rPr>
          <w:rFonts w:ascii="Times New Roman" w:hAnsi="Times New Roman" w:cs="Times New Roman"/>
          <w:color w:val="000000" w:themeColor="text1"/>
        </w:rPr>
      </w:pPr>
      <w:r w:rsidRPr="005D749F">
        <w:rPr>
          <w:rFonts w:ascii="Times New Roman" w:hAnsi="Times New Roman" w:cs="Times New Roman"/>
          <w:color w:val="000000" w:themeColor="text1"/>
        </w:rPr>
        <w:t>Distribution Strategy: The ISM Network</w:t>
      </w:r>
    </w:p>
    <w:p w14:paraId="0264BE1A" w14:textId="77777777" w:rsidR="00114486" w:rsidRPr="005D749F" w:rsidRDefault="00000000">
      <w:pPr>
        <w:pStyle w:val="Compact"/>
        <w:numPr>
          <w:ilvl w:val="0"/>
          <w:numId w:val="2"/>
        </w:numPr>
        <w:rPr>
          <w:rFonts w:ascii="Times New Roman" w:hAnsi="Times New Roman" w:cs="Times New Roman"/>
          <w:color w:val="000000" w:themeColor="text1"/>
        </w:rPr>
      </w:pPr>
      <w:r w:rsidRPr="005D749F">
        <w:rPr>
          <w:rFonts w:ascii="Times New Roman" w:hAnsi="Times New Roman" w:cs="Times New Roman"/>
          <w:color w:val="000000" w:themeColor="text1"/>
        </w:rPr>
        <w:t>Financial Projections</w:t>
      </w:r>
    </w:p>
    <w:p w14:paraId="6DDD8ECF" w14:textId="77777777" w:rsidR="00114486" w:rsidRPr="005D749F" w:rsidRDefault="00000000">
      <w:pPr>
        <w:pStyle w:val="Compact"/>
        <w:numPr>
          <w:ilvl w:val="1"/>
          <w:numId w:val="6"/>
        </w:numPr>
        <w:rPr>
          <w:rFonts w:ascii="Times New Roman" w:hAnsi="Times New Roman" w:cs="Times New Roman"/>
          <w:color w:val="000000" w:themeColor="text1"/>
        </w:rPr>
      </w:pPr>
      <w:r w:rsidRPr="005D749F">
        <w:rPr>
          <w:rFonts w:ascii="Times New Roman" w:hAnsi="Times New Roman" w:cs="Times New Roman"/>
          <w:color w:val="000000" w:themeColor="text1"/>
        </w:rPr>
        <w:t>8.1 Capital Deployment Model</w:t>
      </w:r>
    </w:p>
    <w:p w14:paraId="67BC9136" w14:textId="77777777" w:rsidR="00114486" w:rsidRPr="005D749F" w:rsidRDefault="00000000">
      <w:pPr>
        <w:pStyle w:val="Compact"/>
        <w:numPr>
          <w:ilvl w:val="1"/>
          <w:numId w:val="6"/>
        </w:numPr>
        <w:rPr>
          <w:rFonts w:ascii="Times New Roman" w:hAnsi="Times New Roman" w:cs="Times New Roman"/>
          <w:color w:val="000000" w:themeColor="text1"/>
        </w:rPr>
      </w:pPr>
      <w:r w:rsidRPr="005D749F">
        <w:rPr>
          <w:rFonts w:ascii="Times New Roman" w:hAnsi="Times New Roman" w:cs="Times New Roman"/>
          <w:color w:val="000000" w:themeColor="text1"/>
        </w:rPr>
        <w:t>8.2 Seven-Year Projection</w:t>
      </w:r>
    </w:p>
    <w:p w14:paraId="481BB8AE" w14:textId="77777777" w:rsidR="00114486" w:rsidRPr="005D749F" w:rsidRDefault="00000000">
      <w:pPr>
        <w:pStyle w:val="Compact"/>
        <w:numPr>
          <w:ilvl w:val="1"/>
          <w:numId w:val="6"/>
        </w:numPr>
        <w:rPr>
          <w:rFonts w:ascii="Times New Roman" w:hAnsi="Times New Roman" w:cs="Times New Roman"/>
          <w:color w:val="000000" w:themeColor="text1"/>
        </w:rPr>
      </w:pPr>
      <w:r w:rsidRPr="005D749F">
        <w:rPr>
          <w:rFonts w:ascii="Times New Roman" w:hAnsi="Times New Roman" w:cs="Times New Roman"/>
          <w:color w:val="000000" w:themeColor="text1"/>
        </w:rPr>
        <w:t>8.3 Sensitivity Analysis</w:t>
      </w:r>
    </w:p>
    <w:p w14:paraId="6A88D2E9" w14:textId="77777777" w:rsidR="00114486" w:rsidRPr="005D749F" w:rsidRDefault="00000000">
      <w:pPr>
        <w:pStyle w:val="Compact"/>
        <w:numPr>
          <w:ilvl w:val="0"/>
          <w:numId w:val="2"/>
        </w:numPr>
        <w:rPr>
          <w:rFonts w:ascii="Times New Roman" w:hAnsi="Times New Roman" w:cs="Times New Roman"/>
          <w:color w:val="000000" w:themeColor="text1"/>
        </w:rPr>
      </w:pPr>
      <w:r w:rsidRPr="005D749F">
        <w:rPr>
          <w:rFonts w:ascii="Times New Roman" w:hAnsi="Times New Roman" w:cs="Times New Roman"/>
          <w:color w:val="000000" w:themeColor="text1"/>
        </w:rPr>
        <w:t>Organizational Structure</w:t>
      </w:r>
    </w:p>
    <w:p w14:paraId="1E101D79" w14:textId="77777777" w:rsidR="00114486" w:rsidRPr="005D749F" w:rsidRDefault="00000000">
      <w:pPr>
        <w:pStyle w:val="Compact"/>
        <w:numPr>
          <w:ilvl w:val="0"/>
          <w:numId w:val="2"/>
        </w:numPr>
        <w:rPr>
          <w:rFonts w:ascii="Times New Roman" w:hAnsi="Times New Roman" w:cs="Times New Roman"/>
          <w:color w:val="000000" w:themeColor="text1"/>
        </w:rPr>
      </w:pPr>
      <w:r w:rsidRPr="005D749F">
        <w:rPr>
          <w:rFonts w:ascii="Times New Roman" w:hAnsi="Times New Roman" w:cs="Times New Roman"/>
          <w:color w:val="000000" w:themeColor="text1"/>
        </w:rPr>
        <w:t>Go-to-Market Strategy</w:t>
      </w:r>
    </w:p>
    <w:p w14:paraId="6B4762DA" w14:textId="77777777" w:rsidR="00114486" w:rsidRPr="005D749F" w:rsidRDefault="00000000">
      <w:pPr>
        <w:pStyle w:val="Compact"/>
        <w:numPr>
          <w:ilvl w:val="0"/>
          <w:numId w:val="2"/>
        </w:numPr>
        <w:rPr>
          <w:rFonts w:ascii="Times New Roman" w:hAnsi="Times New Roman" w:cs="Times New Roman"/>
          <w:color w:val="000000" w:themeColor="text1"/>
        </w:rPr>
      </w:pPr>
      <w:r w:rsidRPr="005D749F">
        <w:rPr>
          <w:rFonts w:ascii="Times New Roman" w:hAnsi="Times New Roman" w:cs="Times New Roman"/>
          <w:color w:val="000000" w:themeColor="text1"/>
        </w:rPr>
        <w:t>Risk Assessment</w:t>
      </w:r>
    </w:p>
    <w:p w14:paraId="2CA8325E" w14:textId="77777777" w:rsidR="00114486" w:rsidRPr="005D749F" w:rsidRDefault="00000000">
      <w:pPr>
        <w:pStyle w:val="Compact"/>
        <w:numPr>
          <w:ilvl w:val="0"/>
          <w:numId w:val="2"/>
        </w:numPr>
        <w:rPr>
          <w:rFonts w:ascii="Times New Roman" w:hAnsi="Times New Roman" w:cs="Times New Roman"/>
          <w:color w:val="000000" w:themeColor="text1"/>
        </w:rPr>
      </w:pPr>
      <w:r w:rsidRPr="005D749F">
        <w:rPr>
          <w:rFonts w:ascii="Times New Roman" w:hAnsi="Times New Roman" w:cs="Times New Roman"/>
          <w:color w:val="000000" w:themeColor="text1"/>
        </w:rPr>
        <w:t>Roadmap</w:t>
      </w:r>
    </w:p>
    <w:p w14:paraId="4BA10CA6" w14:textId="77777777" w:rsidR="00114486" w:rsidRPr="005D749F" w:rsidRDefault="00000000">
      <w:pPr>
        <w:pStyle w:val="Compact"/>
        <w:numPr>
          <w:ilvl w:val="0"/>
          <w:numId w:val="2"/>
        </w:numPr>
        <w:rPr>
          <w:rFonts w:ascii="Times New Roman" w:hAnsi="Times New Roman" w:cs="Times New Roman"/>
          <w:color w:val="000000" w:themeColor="text1"/>
        </w:rPr>
      </w:pPr>
      <w:r w:rsidRPr="005D749F">
        <w:rPr>
          <w:rFonts w:ascii="Times New Roman" w:hAnsi="Times New Roman" w:cs="Times New Roman"/>
          <w:color w:val="000000" w:themeColor="text1"/>
        </w:rPr>
        <w:t>Conclusion</w:t>
      </w:r>
    </w:p>
    <w:p w14:paraId="7C6F2799" w14:textId="77777777" w:rsidR="00114486" w:rsidRPr="005D749F" w:rsidRDefault="00000000">
      <w:pPr>
        <w:pStyle w:val="Compact"/>
        <w:numPr>
          <w:ilvl w:val="0"/>
          <w:numId w:val="2"/>
        </w:numPr>
        <w:rPr>
          <w:rFonts w:ascii="Times New Roman" w:hAnsi="Times New Roman" w:cs="Times New Roman"/>
          <w:color w:val="000000" w:themeColor="text1"/>
        </w:rPr>
      </w:pPr>
      <w:r w:rsidRPr="005D749F">
        <w:rPr>
          <w:rFonts w:ascii="Times New Roman" w:hAnsi="Times New Roman" w:cs="Times New Roman"/>
          <w:color w:val="000000" w:themeColor="text1"/>
        </w:rPr>
        <w:t>References</w:t>
      </w:r>
    </w:p>
    <w:p w14:paraId="4F4F1CFB" w14:textId="007BFC5D" w:rsidR="00114486" w:rsidRDefault="00114486">
      <w:pPr>
        <w:rPr>
          <w:rFonts w:ascii="Times New Roman" w:hAnsi="Times New Roman" w:cs="Times New Roman"/>
          <w:color w:val="000000" w:themeColor="text1"/>
        </w:rPr>
      </w:pPr>
    </w:p>
    <w:p w14:paraId="53A90E0D" w14:textId="77777777" w:rsidR="005D749F" w:rsidRDefault="005D749F">
      <w:pPr>
        <w:rPr>
          <w:rFonts w:ascii="Times New Roman" w:hAnsi="Times New Roman" w:cs="Times New Roman"/>
          <w:color w:val="000000" w:themeColor="text1"/>
        </w:rPr>
      </w:pPr>
    </w:p>
    <w:p w14:paraId="5046548D" w14:textId="77777777" w:rsidR="005D749F" w:rsidRDefault="005D749F">
      <w:pPr>
        <w:rPr>
          <w:rFonts w:ascii="Times New Roman" w:hAnsi="Times New Roman" w:cs="Times New Roman"/>
          <w:color w:val="000000" w:themeColor="text1"/>
        </w:rPr>
      </w:pPr>
    </w:p>
    <w:p w14:paraId="1EBCCD99" w14:textId="77777777" w:rsidR="005D749F" w:rsidRPr="005D749F" w:rsidRDefault="005D749F">
      <w:pPr>
        <w:rPr>
          <w:rFonts w:ascii="Times New Roman" w:hAnsi="Times New Roman" w:cs="Times New Roman"/>
          <w:color w:val="000000" w:themeColor="text1"/>
        </w:rPr>
      </w:pPr>
    </w:p>
    <w:p w14:paraId="2917A187" w14:textId="77777777" w:rsidR="00114486" w:rsidRPr="005D749F" w:rsidRDefault="00000000">
      <w:pPr>
        <w:pStyle w:val="Heading2"/>
        <w:rPr>
          <w:rFonts w:ascii="Times New Roman" w:hAnsi="Times New Roman" w:cs="Times New Roman"/>
          <w:color w:val="000000" w:themeColor="text1"/>
          <w:sz w:val="24"/>
          <w:szCs w:val="24"/>
        </w:rPr>
      </w:pPr>
      <w:bookmarkStart w:id="3" w:name="introduction"/>
      <w:bookmarkEnd w:id="2"/>
      <w:r w:rsidRPr="005D749F">
        <w:rPr>
          <w:rFonts w:ascii="Times New Roman" w:hAnsi="Times New Roman" w:cs="Times New Roman"/>
          <w:color w:val="000000" w:themeColor="text1"/>
          <w:sz w:val="24"/>
          <w:szCs w:val="24"/>
        </w:rPr>
        <w:lastRenderedPageBreak/>
        <w:t>1. Introduction</w:t>
      </w:r>
    </w:p>
    <w:p w14:paraId="0A9C7171"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Japan’s financial infrastructure operates on a set of assumptions that systematically exclude a growing segment of its resident population. The mainstream banking and credit system was constructed around the postwar lifetime employment model — a framework in which financial credibility was established through long-term corporate affiliation, domestic residence history, and generational social networks. For individuals who exist outside this framework — whether through foreign nationality, non-traditional employment, or recent arrival — the system produces credit invisibility: the condition of being financially present but institutionally unrecognizable.</w:t>
      </w:r>
    </w:p>
    <w:p w14:paraId="2EB8B4C6"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International students in Japan represent one of the most acute cases of credit invisibility. As of 2024, Japan hosted approximately 279,000 international students according to the Japan Student Services Organization (JASSO, 2024), a figure that has trended toward 350,000 when accounting for enrollment growth and visa-period overlaps. These individuals are active economic participants: they rent housing, pay tuition, generate consumption, and in many cases develop the entrepreneurial ventures that Japan’s government has stated it wishes to encourage through programs such as the Startup Visa. However, the structural prerequisites for financial participation — credit history, co-signer networks, domestic employment records — are precisely what international students are least likely to possess upon arrival and least likely to build within the confines of a student visa.</w:t>
      </w:r>
    </w:p>
    <w:p w14:paraId="7EFBD6A9"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consequence is a population that participates in Japan’s economy without access to its financial tools. They cannot open corporate bank accounts. They cannot obtain the business financing necessary to satisfy visa requirements. They cannot build credit histories that future financial institutions will recognize. The system does not exclude them because of demonstrated unreliability. It excludes them because it has no mechanism for recognizing the reliability they have already demonstrated.</w:t>
      </w:r>
    </w:p>
    <w:p w14:paraId="1E66FD38" w14:textId="77777777" w:rsidR="00114486"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Mujin 2.0 is designed to solve this problem through a three-layer architecture: a legally structured Recyclable Grant delivered through a Religious Corporation entity, a church-based physical co-working infrastructure that satisfies immigration requirements, and a behavioral Trust Score system that converts demonstrated social accountability into a form of credit credibility that partner banks can recognize. This report presents the full model, its legal and financial foundations, its projected performance, and the risk mitigation strategies that govern its deployment.</w:t>
      </w:r>
    </w:p>
    <w:p w14:paraId="6F7EECB0" w14:textId="77777777" w:rsidR="005D749F" w:rsidRDefault="005D749F">
      <w:pPr>
        <w:pStyle w:val="BodyText"/>
        <w:rPr>
          <w:rFonts w:ascii="Times New Roman" w:hAnsi="Times New Roman" w:cs="Times New Roman"/>
          <w:color w:val="000000" w:themeColor="text1"/>
        </w:rPr>
      </w:pPr>
    </w:p>
    <w:p w14:paraId="25BCD80F" w14:textId="77777777" w:rsidR="005D749F" w:rsidRDefault="005D749F">
      <w:pPr>
        <w:pStyle w:val="BodyText"/>
        <w:rPr>
          <w:rFonts w:ascii="Times New Roman" w:hAnsi="Times New Roman" w:cs="Times New Roman"/>
          <w:color w:val="000000" w:themeColor="text1"/>
        </w:rPr>
      </w:pPr>
    </w:p>
    <w:p w14:paraId="5D9548C4" w14:textId="77777777" w:rsidR="005D749F" w:rsidRDefault="005D749F">
      <w:pPr>
        <w:pStyle w:val="BodyText"/>
        <w:rPr>
          <w:rFonts w:ascii="Times New Roman" w:hAnsi="Times New Roman" w:cs="Times New Roman"/>
          <w:color w:val="000000" w:themeColor="text1"/>
        </w:rPr>
      </w:pPr>
    </w:p>
    <w:p w14:paraId="53F64F90" w14:textId="77777777" w:rsidR="005D749F" w:rsidRPr="005D749F" w:rsidRDefault="005D749F">
      <w:pPr>
        <w:pStyle w:val="BodyText"/>
        <w:rPr>
          <w:rFonts w:ascii="Times New Roman" w:hAnsi="Times New Roman" w:cs="Times New Roman"/>
          <w:color w:val="000000" w:themeColor="text1"/>
        </w:rPr>
      </w:pPr>
    </w:p>
    <w:p w14:paraId="700D0F81" w14:textId="26A1C7E5" w:rsidR="00114486" w:rsidRPr="005D749F" w:rsidRDefault="00114486">
      <w:pPr>
        <w:rPr>
          <w:rFonts w:ascii="Times New Roman" w:hAnsi="Times New Roman" w:cs="Times New Roman"/>
          <w:color w:val="000000" w:themeColor="text1"/>
        </w:rPr>
      </w:pPr>
    </w:p>
    <w:p w14:paraId="4018B09D" w14:textId="77777777" w:rsidR="00114486" w:rsidRPr="005D749F" w:rsidRDefault="00000000">
      <w:pPr>
        <w:pStyle w:val="Heading2"/>
        <w:rPr>
          <w:rFonts w:ascii="Times New Roman" w:hAnsi="Times New Roman" w:cs="Times New Roman"/>
          <w:color w:val="000000" w:themeColor="text1"/>
          <w:sz w:val="24"/>
          <w:szCs w:val="24"/>
        </w:rPr>
      </w:pPr>
      <w:bookmarkStart w:id="4" w:name="background-and-contextual-analysis"/>
      <w:bookmarkEnd w:id="3"/>
      <w:r w:rsidRPr="005D749F">
        <w:rPr>
          <w:rFonts w:ascii="Times New Roman" w:hAnsi="Times New Roman" w:cs="Times New Roman"/>
          <w:color w:val="000000" w:themeColor="text1"/>
          <w:sz w:val="24"/>
          <w:szCs w:val="24"/>
        </w:rPr>
        <w:lastRenderedPageBreak/>
        <w:t>2. Background and Contextual Analysis</w:t>
      </w:r>
    </w:p>
    <w:p w14:paraId="0E3C4E54" w14:textId="77777777" w:rsidR="00114486" w:rsidRPr="005D749F" w:rsidRDefault="00000000">
      <w:pPr>
        <w:pStyle w:val="Heading3"/>
        <w:rPr>
          <w:rFonts w:ascii="Times New Roman" w:hAnsi="Times New Roman" w:cs="Times New Roman"/>
          <w:color w:val="000000" w:themeColor="text1"/>
          <w:sz w:val="24"/>
          <w:szCs w:val="24"/>
        </w:rPr>
      </w:pPr>
      <w:bookmarkStart w:id="5" w:name="Xe8885d29b97453d0ccc4d994f16b9130106fb1d"/>
      <w:r w:rsidRPr="005D749F">
        <w:rPr>
          <w:rFonts w:ascii="Times New Roman" w:hAnsi="Times New Roman" w:cs="Times New Roman"/>
          <w:color w:val="000000" w:themeColor="text1"/>
          <w:sz w:val="24"/>
          <w:szCs w:val="24"/>
        </w:rPr>
        <w:t>2.1 International Students and Financial Exclusion in Japan</w:t>
      </w:r>
    </w:p>
    <w:p w14:paraId="3A95B772"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Japan has pursued the internationalization of its higher education sector as a strategic policy priority for over two decades. The government’s landmark “300,000 International Students Plan,” launched in 2008, sought to triple the international student population by 2020. As of JASSO’s 2024 annual survey, the international student population in Japan stood at approximately 279,000, representing students from over 170 countries with the largest populations originating from China, Nepal, Vietnam, South Korea, and Sri Lanka (JASSO, 2024). Government projections and recent enrollment trends suggest continued growth toward 350,000 students by 2026.</w:t>
      </w:r>
    </w:p>
    <w:p w14:paraId="1CAB5C78"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Despite this scale, international students in Japan face systemic barriers to financial participation that are disproportionate to their economic contribution. Research on financial inclusion among migrant populations consistently identifies the absence of domestic credit history as the primary barrier to financial access (World Bank, 2022). In Japan, this barrier is compounded by institutional risk aversion within the banking sector. Following consolidation into a small number of mega-banks in the late 1990s and early 2000s, Japanese financial institutions moved from relationship-based lending toward algorithmic risk assessment models that rely heavily on employment history, domestic address duration, and existing credit bureau records (Hoshi and Kashyap, 2001). International students, regardless of their entrepreneurial potential or behavioral reliability, produce credit bureau records that are either absent or too thin to assess.</w:t>
      </w:r>
    </w:p>
    <w:p w14:paraId="75072914"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result is a population caught between policy aspiration and institutional reality. Government programs designed to attract foreign entrepreneurial talent — including the Startup Visa and the Business Manager Visa — require the very financial infrastructure that international students cannot access until after they have already demonstrated the viability that would qualify them for that infrastructure. Mujin identifies this as a structural gap, not a personal failing.</w:t>
      </w:r>
    </w:p>
    <w:p w14:paraId="2EBFDB07" w14:textId="77777777" w:rsidR="00114486" w:rsidRPr="005D749F" w:rsidRDefault="00000000">
      <w:pPr>
        <w:pStyle w:val="Heading3"/>
        <w:rPr>
          <w:rFonts w:ascii="Times New Roman" w:hAnsi="Times New Roman" w:cs="Times New Roman"/>
          <w:color w:val="000000" w:themeColor="text1"/>
          <w:sz w:val="24"/>
          <w:szCs w:val="24"/>
        </w:rPr>
      </w:pPr>
      <w:bookmarkStart w:id="6" w:name="Xaebbab42c29b4553029bc95063c154d3bb4b355"/>
      <w:bookmarkEnd w:id="5"/>
      <w:r w:rsidRPr="005D749F">
        <w:rPr>
          <w:rFonts w:ascii="Times New Roman" w:hAnsi="Times New Roman" w:cs="Times New Roman"/>
          <w:color w:val="000000" w:themeColor="text1"/>
          <w:sz w:val="24"/>
          <w:szCs w:val="24"/>
        </w:rPr>
        <w:t>2.2 The Business Manager Visa Regulatory Crisis</w:t>
      </w:r>
    </w:p>
    <w:p w14:paraId="114271A4"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 xml:space="preserve">On October 16, 2025, the Ministry of Justice implemented a significant revision to the requirements governing Japan’s Business Manager Visa (Keiei/Kanri Visa). The minimum registered capital requirement was raised from ¥5,000,000 to ¥30,000,000 — a six-fold increase. Additionally, the revised requirements mandate employment of at least one qualifying full-time employee who is either a Japanese national or permanent </w:t>
      </w:r>
      <w:proofErr w:type="gramStart"/>
      <w:r w:rsidRPr="005D749F">
        <w:rPr>
          <w:rFonts w:ascii="Times New Roman" w:hAnsi="Times New Roman" w:cs="Times New Roman"/>
          <w:color w:val="000000" w:themeColor="text1"/>
        </w:rPr>
        <w:t>resident, and</w:t>
      </w:r>
      <w:proofErr w:type="gramEnd"/>
      <w:r w:rsidRPr="005D749F">
        <w:rPr>
          <w:rFonts w:ascii="Times New Roman" w:hAnsi="Times New Roman" w:cs="Times New Roman"/>
          <w:color w:val="000000" w:themeColor="text1"/>
        </w:rPr>
        <w:t xml:space="preserve"> specify that either the applicant or the qualifying employee must demonstrate Japanese language proficiency at the JLPT N2 level or above (Ministry of Justice, 2025).</w:t>
      </w:r>
    </w:p>
    <w:p w14:paraId="3D0E48BD"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practical effect of this revision is to significantly narrow the pathway to legal business establishment for small-scale international student entrepreneurs. The previous ¥5,000,000 threshold, while demanding, was achievable for a student with modest savings and family support. The revised ¥30,000,000 threshold represents an amount that exceeds the annual income of the majority of international students in Japan and is functionally inaccessible without external funding or institutional support. This regulatory change substantially increases the urgency of Mujin’s physical office solution, which provides a Church Usage Agreement sufficient to satisfy the Ministry of Justice’s physical base of operations requirement at a nominal monthly fee, and positions students to meet the capital threshold through the program’s graduation pathway.</w:t>
      </w:r>
    </w:p>
    <w:p w14:paraId="68096249" w14:textId="77777777" w:rsidR="00114486" w:rsidRPr="005D749F" w:rsidRDefault="00000000">
      <w:pPr>
        <w:pStyle w:val="Heading3"/>
        <w:rPr>
          <w:rFonts w:ascii="Times New Roman" w:hAnsi="Times New Roman" w:cs="Times New Roman"/>
          <w:color w:val="000000" w:themeColor="text1"/>
          <w:sz w:val="24"/>
          <w:szCs w:val="24"/>
        </w:rPr>
      </w:pPr>
      <w:bookmarkStart w:id="7" w:name="the-protestant-church-2030-problem"/>
      <w:bookmarkEnd w:id="6"/>
      <w:r w:rsidRPr="005D749F">
        <w:rPr>
          <w:rFonts w:ascii="Times New Roman" w:hAnsi="Times New Roman" w:cs="Times New Roman"/>
          <w:color w:val="000000" w:themeColor="text1"/>
          <w:sz w:val="24"/>
          <w:szCs w:val="24"/>
        </w:rPr>
        <w:lastRenderedPageBreak/>
        <w:t>2.3 The Protestant Church 2030 Problem</w:t>
      </w:r>
    </w:p>
    <w:p w14:paraId="4B0C6C60"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The Protestant church in Japan faces an existential demographic crisis. At the Seventh Japan Congress on Evangelism, held in 2024, researchers presented projections indicating that approximately 50% of Japan’s Protestant congregations are at risk of closure by 2030 (Seventh Japan Congress on Evangelism, 2024). The primary drivers are an aging membership base, declining weekly attendance, and a critical shortage of ordained pastors. An estimated 3,000 or more Protestant churches currently operate without a resident pastor, relying on circuit arrangements or lay leadership that limit their programmatic capacity.</w:t>
      </w:r>
    </w:p>
    <w:p w14:paraId="36A68142"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From an institutional perspective, this crisis represents a convergence of underutilized physical assets and diminishing human capacity. Church buildings in Japan are frequently located within accessible distance of major universities — a function of deliberate placement decisions made during the postwar period of urban expansion. Many of these facilities include meeting rooms, offices, and common spaces that sit unused during the working week. The Mujin model activates these assets in service of a population the church already seeks to reach, while generating co-working revenue that contributes to the church’s operational sustainability. This is not a transactional arrangement. It is a structural response to mutual need.</w:t>
      </w:r>
    </w:p>
    <w:p w14:paraId="2CB98769"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Taito City multicultural coexistence partnership model provides a documented precedent for this kind of church-community-government alignment. In this model, a local church established a volunteer-based bridge organization that subsequently became a formal partner in the municipality’s multicultural coexistence program. The city now distributes church information to all newly registered foreign residents, and the church receives municipal recognition as a community service provider. Mujin intends to replicate and formalize this model across multiple urban wards.</w:t>
      </w:r>
    </w:p>
    <w:p w14:paraId="648C9717" w14:textId="77777777" w:rsidR="00114486" w:rsidRPr="005D749F" w:rsidRDefault="00000000">
      <w:pPr>
        <w:pStyle w:val="Heading3"/>
        <w:rPr>
          <w:rFonts w:ascii="Times New Roman" w:hAnsi="Times New Roman" w:cs="Times New Roman"/>
          <w:color w:val="000000" w:themeColor="text1"/>
          <w:sz w:val="24"/>
          <w:szCs w:val="24"/>
        </w:rPr>
      </w:pPr>
      <w:bookmarkStart w:id="8" w:name="Xd23c38826826304ccd37b83258426f406dc83d7"/>
      <w:bookmarkEnd w:id="7"/>
      <w:r w:rsidRPr="005D749F">
        <w:rPr>
          <w:rFonts w:ascii="Times New Roman" w:hAnsi="Times New Roman" w:cs="Times New Roman"/>
          <w:color w:val="000000" w:themeColor="text1"/>
          <w:sz w:val="24"/>
          <w:szCs w:val="24"/>
        </w:rPr>
        <w:t>2.4 Japan’s Broader Financial Exclusion Landscape</w:t>
      </w:r>
    </w:p>
    <w:p w14:paraId="008D464B"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Japan’s financial exclusion challenge extends beyond international students. The Financial Services Agency (FSA) has acknowledged in successive annual reports that the country’s banking sector underserves populations without conventional employment histories, including non-regular workers, self-employed individuals, and foreign residents (FSA, 2024). The concentration of Japan’s banking sector — which saw the top three mega-banks account for approximately 35% of total domestic deposits by 2024 — has reduced competitive pressure to develop non-standard credit assessment methodologies (Bank of Japan, 2024).</w:t>
      </w:r>
    </w:p>
    <w:p w14:paraId="46CE652A"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Regional banks face the inverse challenge. With rural depopulation accelerating and the traditional corporate client base shrinking, regional financial institutions are actively seeking new customer segments. The Japan Finance Corporation (JFC), a government-affiliated financial institution, has expanded its mandates in recent years to include programs targeting young entrepreneurs and foreign residents — a structural alignment with Mujin’s graduation pathway. This alignment makes the JFC and </w:t>
      </w:r>
      <w:proofErr w:type="gramStart"/>
      <w:r w:rsidRPr="005D749F">
        <w:rPr>
          <w:rFonts w:ascii="Times New Roman" w:hAnsi="Times New Roman" w:cs="Times New Roman"/>
          <w:color w:val="000000" w:themeColor="text1"/>
        </w:rPr>
        <w:t>select</w:t>
      </w:r>
      <w:proofErr w:type="gramEnd"/>
      <w:r w:rsidRPr="005D749F">
        <w:rPr>
          <w:rFonts w:ascii="Times New Roman" w:hAnsi="Times New Roman" w:cs="Times New Roman"/>
          <w:color w:val="000000" w:themeColor="text1"/>
        </w:rPr>
        <w:t xml:space="preserve"> regional banks natural institutional partners rather than reluctant ones.</w:t>
      </w:r>
    </w:p>
    <w:p w14:paraId="770BE5C1" w14:textId="277E7223" w:rsidR="00114486" w:rsidRPr="005D749F" w:rsidRDefault="00114486">
      <w:pPr>
        <w:rPr>
          <w:rFonts w:ascii="Times New Roman" w:hAnsi="Times New Roman" w:cs="Times New Roman"/>
          <w:color w:val="000000" w:themeColor="text1"/>
        </w:rPr>
      </w:pPr>
    </w:p>
    <w:p w14:paraId="1E7A1F31" w14:textId="77777777" w:rsidR="00114486" w:rsidRPr="005D749F" w:rsidRDefault="00000000">
      <w:pPr>
        <w:pStyle w:val="Heading2"/>
        <w:rPr>
          <w:rFonts w:ascii="Times New Roman" w:hAnsi="Times New Roman" w:cs="Times New Roman"/>
          <w:color w:val="000000" w:themeColor="text1"/>
          <w:sz w:val="24"/>
          <w:szCs w:val="24"/>
        </w:rPr>
      </w:pPr>
      <w:bookmarkStart w:id="9" w:name="historical-foundation-the-無尽講-tradition"/>
      <w:bookmarkEnd w:id="4"/>
      <w:bookmarkEnd w:id="8"/>
      <w:r w:rsidRPr="005D749F">
        <w:rPr>
          <w:rFonts w:ascii="Times New Roman" w:hAnsi="Times New Roman" w:cs="Times New Roman"/>
          <w:color w:val="000000" w:themeColor="text1"/>
          <w:sz w:val="24"/>
          <w:szCs w:val="24"/>
        </w:rPr>
        <w:lastRenderedPageBreak/>
        <w:t xml:space="preserve">3. Historical Foundation: The </w:t>
      </w:r>
      <w:r w:rsidRPr="005D749F">
        <w:rPr>
          <w:rFonts w:ascii="Times New Roman" w:hAnsi="Times New Roman" w:cs="Times New Roman"/>
          <w:color w:val="000000" w:themeColor="text1"/>
          <w:sz w:val="24"/>
          <w:szCs w:val="24"/>
        </w:rPr>
        <w:t>無尽講</w:t>
      </w:r>
      <w:r w:rsidRPr="005D749F">
        <w:rPr>
          <w:rFonts w:ascii="Times New Roman" w:hAnsi="Times New Roman" w:cs="Times New Roman"/>
          <w:color w:val="000000" w:themeColor="text1"/>
          <w:sz w:val="24"/>
          <w:szCs w:val="24"/>
        </w:rPr>
        <w:t xml:space="preserve"> Tradition</w:t>
      </w:r>
    </w:p>
    <w:p w14:paraId="4E0B5ADD"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 xml:space="preserve">Mutual aid finance in Japan has deep indigenous roots. The </w:t>
      </w:r>
      <w:r w:rsidRPr="005D749F">
        <w:rPr>
          <w:rFonts w:ascii="Times New Roman" w:hAnsi="Times New Roman" w:cs="Times New Roman"/>
          <w:color w:val="000000" w:themeColor="text1"/>
        </w:rPr>
        <w:t>無尽講</w:t>
      </w:r>
      <w:r w:rsidRPr="005D749F">
        <w:rPr>
          <w:rFonts w:ascii="Times New Roman" w:hAnsi="Times New Roman" w:cs="Times New Roman"/>
          <w:color w:val="000000" w:themeColor="text1"/>
        </w:rPr>
        <w:t xml:space="preserve"> (Mujin-ko) — literally “inexhaustible association” — was a form of rotating savings and credit association (ROSCA) practiced widely across Japan from at least the Kamakura period (Francks, 2009). Members of a Mujin-ko contributed fixed amounts at regular intervals into a common pool. At each interval, one member received the full accumulated sum, with the rotation continuing until all members had received their allocation. The system required no formal legal contract and no financial collateral. Its enforcement mechanism was entirely social: the loss of community standing associated with default was a far more powerful deterrent than legal consequence in the context of village society.</w:t>
      </w:r>
    </w:p>
    <w:p w14:paraId="24A9B5BD"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ROSCAs of this type are documented across the developing world and have been studied extensively as informal financial mechanisms that address the gap between formal institutional credit and the liquidity needs of communities excluded from that credit (Besley, Coate, and Loury, 1993). What distinguishes the </w:t>
      </w:r>
      <w:r w:rsidRPr="005D749F">
        <w:rPr>
          <w:rFonts w:ascii="Times New Roman" w:hAnsi="Times New Roman" w:cs="Times New Roman"/>
          <w:color w:val="000000" w:themeColor="text1"/>
        </w:rPr>
        <w:t>無尽講</w:t>
      </w:r>
      <w:r w:rsidRPr="005D749F">
        <w:rPr>
          <w:rFonts w:ascii="Times New Roman" w:hAnsi="Times New Roman" w:cs="Times New Roman"/>
          <w:color w:val="000000" w:themeColor="text1"/>
        </w:rPr>
        <w:t xml:space="preserve"> from simple social lending is its explicit trust architecture: participation was extended, maintained, and governed by community judgment rather than institutional assessment. Creditworthiness was a social fact before it was a financial one.</w:t>
      </w:r>
    </w:p>
    <w:p w14:paraId="1DADEB41" w14:textId="77777777" w:rsidR="00114486"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The Mujin 2.0 model does not replicate the rotating structure of the original </w:t>
      </w:r>
      <w:r w:rsidRPr="005D749F">
        <w:rPr>
          <w:rFonts w:ascii="Times New Roman" w:hAnsi="Times New Roman" w:cs="Times New Roman"/>
          <w:color w:val="000000" w:themeColor="text1"/>
        </w:rPr>
        <w:t>無尽講</w:t>
      </w:r>
      <w:r w:rsidRPr="005D749F">
        <w:rPr>
          <w:rFonts w:ascii="Times New Roman" w:hAnsi="Times New Roman" w:cs="Times New Roman"/>
          <w:color w:val="000000" w:themeColor="text1"/>
        </w:rPr>
        <w:t xml:space="preserve">. Instead, it inherits the underlying principle: that trust, made visible through community participation and behavioral consistency, is a legitimate and sufficient basis for capital deployment. The innovation is in formalization — replacing village social pressure with a structured behavioral scoring </w:t>
      </w:r>
      <w:proofErr w:type="gramStart"/>
      <w:r w:rsidRPr="005D749F">
        <w:rPr>
          <w:rFonts w:ascii="Times New Roman" w:hAnsi="Times New Roman" w:cs="Times New Roman"/>
          <w:color w:val="000000" w:themeColor="text1"/>
        </w:rPr>
        <w:t>system, and</w:t>
      </w:r>
      <w:proofErr w:type="gramEnd"/>
      <w:r w:rsidRPr="005D749F">
        <w:rPr>
          <w:rFonts w:ascii="Times New Roman" w:hAnsi="Times New Roman" w:cs="Times New Roman"/>
          <w:color w:val="000000" w:themeColor="text1"/>
        </w:rPr>
        <w:t xml:space="preserve"> replacing informal community networks with a documented institutional handshake that converts social credibility into financial credibility recognized by partner banks.</w:t>
      </w:r>
    </w:p>
    <w:p w14:paraId="47BF70ED" w14:textId="77777777" w:rsidR="005D749F" w:rsidRDefault="005D749F">
      <w:pPr>
        <w:pStyle w:val="BodyText"/>
        <w:rPr>
          <w:rFonts w:ascii="Times New Roman" w:hAnsi="Times New Roman" w:cs="Times New Roman"/>
          <w:color w:val="000000" w:themeColor="text1"/>
        </w:rPr>
      </w:pPr>
    </w:p>
    <w:p w14:paraId="66ABE98B" w14:textId="77777777" w:rsidR="005D749F" w:rsidRDefault="005D749F">
      <w:pPr>
        <w:pStyle w:val="BodyText"/>
        <w:rPr>
          <w:rFonts w:ascii="Times New Roman" w:hAnsi="Times New Roman" w:cs="Times New Roman"/>
          <w:color w:val="000000" w:themeColor="text1"/>
        </w:rPr>
      </w:pPr>
    </w:p>
    <w:p w14:paraId="59B7E768" w14:textId="77777777" w:rsidR="005D749F" w:rsidRDefault="005D749F">
      <w:pPr>
        <w:pStyle w:val="BodyText"/>
        <w:rPr>
          <w:rFonts w:ascii="Times New Roman" w:hAnsi="Times New Roman" w:cs="Times New Roman"/>
          <w:color w:val="000000" w:themeColor="text1"/>
        </w:rPr>
      </w:pPr>
    </w:p>
    <w:p w14:paraId="3F0A3E9A" w14:textId="77777777" w:rsidR="005D749F" w:rsidRDefault="005D749F">
      <w:pPr>
        <w:pStyle w:val="BodyText"/>
        <w:rPr>
          <w:rFonts w:ascii="Times New Roman" w:hAnsi="Times New Roman" w:cs="Times New Roman"/>
          <w:color w:val="000000" w:themeColor="text1"/>
        </w:rPr>
      </w:pPr>
    </w:p>
    <w:p w14:paraId="1F4D5FA4" w14:textId="77777777" w:rsidR="005D749F" w:rsidRDefault="005D749F">
      <w:pPr>
        <w:pStyle w:val="BodyText"/>
        <w:rPr>
          <w:rFonts w:ascii="Times New Roman" w:hAnsi="Times New Roman" w:cs="Times New Roman"/>
          <w:color w:val="000000" w:themeColor="text1"/>
        </w:rPr>
      </w:pPr>
    </w:p>
    <w:p w14:paraId="1411CC3E" w14:textId="77777777" w:rsidR="005D749F" w:rsidRDefault="005D749F">
      <w:pPr>
        <w:pStyle w:val="BodyText"/>
        <w:rPr>
          <w:rFonts w:ascii="Times New Roman" w:hAnsi="Times New Roman" w:cs="Times New Roman"/>
          <w:color w:val="000000" w:themeColor="text1"/>
        </w:rPr>
      </w:pPr>
    </w:p>
    <w:p w14:paraId="52895EAF" w14:textId="77777777" w:rsidR="005D749F" w:rsidRDefault="005D749F">
      <w:pPr>
        <w:pStyle w:val="BodyText"/>
        <w:rPr>
          <w:rFonts w:ascii="Times New Roman" w:hAnsi="Times New Roman" w:cs="Times New Roman"/>
          <w:color w:val="000000" w:themeColor="text1"/>
        </w:rPr>
      </w:pPr>
    </w:p>
    <w:p w14:paraId="20E85798" w14:textId="77777777" w:rsidR="005D749F" w:rsidRDefault="005D749F">
      <w:pPr>
        <w:pStyle w:val="BodyText"/>
        <w:rPr>
          <w:rFonts w:ascii="Times New Roman" w:hAnsi="Times New Roman" w:cs="Times New Roman"/>
          <w:color w:val="000000" w:themeColor="text1"/>
        </w:rPr>
      </w:pPr>
    </w:p>
    <w:p w14:paraId="04FBC640" w14:textId="77777777" w:rsidR="005D749F" w:rsidRPr="005D749F" w:rsidRDefault="005D749F">
      <w:pPr>
        <w:pStyle w:val="BodyText"/>
        <w:rPr>
          <w:rFonts w:ascii="Times New Roman" w:hAnsi="Times New Roman" w:cs="Times New Roman"/>
          <w:color w:val="000000" w:themeColor="text1"/>
        </w:rPr>
      </w:pPr>
    </w:p>
    <w:p w14:paraId="3426DD0D" w14:textId="38ED694E" w:rsidR="00114486" w:rsidRPr="005D749F" w:rsidRDefault="00114486">
      <w:pPr>
        <w:rPr>
          <w:rFonts w:ascii="Times New Roman" w:hAnsi="Times New Roman" w:cs="Times New Roman"/>
          <w:color w:val="000000" w:themeColor="text1"/>
        </w:rPr>
      </w:pPr>
    </w:p>
    <w:p w14:paraId="51FB1DA7" w14:textId="77777777" w:rsidR="00114486" w:rsidRPr="005D749F" w:rsidRDefault="00000000">
      <w:pPr>
        <w:pStyle w:val="Heading2"/>
        <w:rPr>
          <w:rFonts w:ascii="Times New Roman" w:hAnsi="Times New Roman" w:cs="Times New Roman"/>
          <w:color w:val="000000" w:themeColor="text1"/>
          <w:sz w:val="24"/>
          <w:szCs w:val="24"/>
        </w:rPr>
      </w:pPr>
      <w:bookmarkStart w:id="10" w:name="competitive-landscape"/>
      <w:bookmarkEnd w:id="9"/>
      <w:r w:rsidRPr="005D749F">
        <w:rPr>
          <w:rFonts w:ascii="Times New Roman" w:hAnsi="Times New Roman" w:cs="Times New Roman"/>
          <w:color w:val="000000" w:themeColor="text1"/>
          <w:sz w:val="24"/>
          <w:szCs w:val="24"/>
        </w:rPr>
        <w:lastRenderedPageBreak/>
        <w:t>4. Competitive Landscape</w:t>
      </w:r>
    </w:p>
    <w:p w14:paraId="29AD7905"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The market for programs serving credit-invisible populations in Japan includes several categories of intervention, none of which fully addresses the combination of capital access, physical infrastructure, behavioral credentialing, and institutional graduation that Mujin provides.</w:t>
      </w:r>
    </w:p>
    <w:p w14:paraId="7F087720"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Grant and scholarship programs for international students, administered by organizations such as JASSO and the Japan Foundation, provide financial support but do not include entrepreneurial development components, behavioral monitoring, or pathways to bank relationships. These programs are designed for academic continuation, not venture development. Recipients who pursue entrepreneurial activity do so without the structural support that Mujin’s model provides.</w:t>
      </w:r>
    </w:p>
    <w:p w14:paraId="02CEFD51"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Microfinance programs in Japan, including those modeled on Grameen Bank methodology, have achieved limited penetration due to the restrictive requirements of the Money Lending Business Act (Kashikingyo-ho), which applies to any organization extending credit regardless of scale. Programs that attempt to operate as lending institutions require a net asset base of ¥50,000,000 and ongoing compliance reporting that is inaccessible to most community organizations (FSA, 2024). This regulatory constraint has prevented the development of a domestic microfinance sector comparable to those in South and Southeast Asia.</w:t>
      </w:r>
    </w:p>
    <w:p w14:paraId="59D8B51C"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Government entrepreneurship support programs, including those administered through the Japan External Trade Organization (JETRO) and the Tokyo Metropolitan Government’s FinCity Tokyo initiative, provide advisory services and networking access but do not deploy capital directly to individual entrepreneurs. These programs are designed for ventures that have already achieved a level of operational establishment that credit-invisible students cannot reach without prior capital access.</w:t>
      </w:r>
    </w:p>
    <w:p w14:paraId="69A8E536"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Commercial co-working providers offer physical office solutions but at market rates incompatible with student budgets and without the behavioral support, mentorship, or institutional graduation pathways that Mujin provides. The Church Usage Agreement at ¥10,000 per month represents a cost structure that commercial providers cannot match.</w:t>
      </w:r>
    </w:p>
    <w:p w14:paraId="0F6E4AFF" w14:textId="77777777" w:rsidR="00114486"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competitive gap is structural: existing interventions address individual components of the problem in isolation. No existing program combines capital deployment, physical infrastructure for visa compliance, behavioral credentialing, and a bank introduction pathway into a single integrated model. This is the gap Mujin is designed to fill.</w:t>
      </w:r>
    </w:p>
    <w:p w14:paraId="46F47F6A" w14:textId="77777777" w:rsidR="005D749F" w:rsidRDefault="005D749F">
      <w:pPr>
        <w:pStyle w:val="BodyText"/>
        <w:rPr>
          <w:rFonts w:ascii="Times New Roman" w:hAnsi="Times New Roman" w:cs="Times New Roman"/>
          <w:color w:val="000000" w:themeColor="text1"/>
        </w:rPr>
      </w:pPr>
    </w:p>
    <w:p w14:paraId="302A76A5" w14:textId="77777777" w:rsidR="005D749F" w:rsidRDefault="005D749F">
      <w:pPr>
        <w:pStyle w:val="BodyText"/>
        <w:rPr>
          <w:rFonts w:ascii="Times New Roman" w:hAnsi="Times New Roman" w:cs="Times New Roman"/>
          <w:color w:val="000000" w:themeColor="text1"/>
        </w:rPr>
      </w:pPr>
    </w:p>
    <w:p w14:paraId="3E1DEE17" w14:textId="77777777" w:rsidR="005D749F" w:rsidRDefault="005D749F">
      <w:pPr>
        <w:pStyle w:val="BodyText"/>
        <w:rPr>
          <w:rFonts w:ascii="Times New Roman" w:hAnsi="Times New Roman" w:cs="Times New Roman"/>
          <w:color w:val="000000" w:themeColor="text1"/>
        </w:rPr>
      </w:pPr>
    </w:p>
    <w:p w14:paraId="4AE290D2" w14:textId="77777777" w:rsidR="005D749F" w:rsidRPr="005D749F" w:rsidRDefault="005D749F">
      <w:pPr>
        <w:pStyle w:val="BodyText"/>
        <w:rPr>
          <w:rFonts w:ascii="Times New Roman" w:hAnsi="Times New Roman" w:cs="Times New Roman"/>
          <w:color w:val="000000" w:themeColor="text1"/>
        </w:rPr>
      </w:pPr>
    </w:p>
    <w:p w14:paraId="153FCE37" w14:textId="06ED9ED8" w:rsidR="00114486" w:rsidRPr="005D749F" w:rsidRDefault="00114486">
      <w:pPr>
        <w:rPr>
          <w:rFonts w:ascii="Times New Roman" w:hAnsi="Times New Roman" w:cs="Times New Roman"/>
          <w:color w:val="000000" w:themeColor="text1"/>
        </w:rPr>
      </w:pPr>
    </w:p>
    <w:p w14:paraId="4BD6C296" w14:textId="77777777" w:rsidR="00114486" w:rsidRPr="005D749F" w:rsidRDefault="00000000">
      <w:pPr>
        <w:pStyle w:val="Heading2"/>
        <w:rPr>
          <w:rFonts w:ascii="Times New Roman" w:hAnsi="Times New Roman" w:cs="Times New Roman"/>
          <w:color w:val="000000" w:themeColor="text1"/>
          <w:sz w:val="24"/>
          <w:szCs w:val="24"/>
        </w:rPr>
      </w:pPr>
      <w:bookmarkStart w:id="11" w:name="legal-and-regulatory-framework"/>
      <w:bookmarkEnd w:id="10"/>
      <w:r w:rsidRPr="005D749F">
        <w:rPr>
          <w:rFonts w:ascii="Times New Roman" w:hAnsi="Times New Roman" w:cs="Times New Roman"/>
          <w:color w:val="000000" w:themeColor="text1"/>
          <w:sz w:val="24"/>
          <w:szCs w:val="24"/>
        </w:rPr>
        <w:lastRenderedPageBreak/>
        <w:t>5. Legal and Regulatory Framework</w:t>
      </w:r>
    </w:p>
    <w:p w14:paraId="08F3CD96" w14:textId="77777777" w:rsidR="00114486" w:rsidRPr="005D749F" w:rsidRDefault="00000000">
      <w:pPr>
        <w:pStyle w:val="Heading3"/>
        <w:rPr>
          <w:rFonts w:ascii="Times New Roman" w:hAnsi="Times New Roman" w:cs="Times New Roman"/>
          <w:color w:val="000000" w:themeColor="text1"/>
          <w:sz w:val="24"/>
          <w:szCs w:val="24"/>
        </w:rPr>
      </w:pPr>
      <w:bookmarkStart w:id="12" w:name="the-money-lending-business-act"/>
      <w:r w:rsidRPr="005D749F">
        <w:rPr>
          <w:rFonts w:ascii="Times New Roman" w:hAnsi="Times New Roman" w:cs="Times New Roman"/>
          <w:color w:val="000000" w:themeColor="text1"/>
          <w:sz w:val="24"/>
          <w:szCs w:val="24"/>
        </w:rPr>
        <w:t>5.1 The Money Lending Business Act</w:t>
      </w:r>
    </w:p>
    <w:p w14:paraId="0C22A5D9"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 xml:space="preserve">The primary regulatory constraint governing capital deployment to individuals in Japan is the Money Lending Business Act (Kashikingyo-ho, Act No. 32 of 1983, as amended). The Act defines a money lending business as any organization that lends money to others in the course of </w:t>
      </w:r>
      <w:proofErr w:type="gramStart"/>
      <w:r w:rsidRPr="005D749F">
        <w:rPr>
          <w:rFonts w:ascii="Times New Roman" w:hAnsi="Times New Roman" w:cs="Times New Roman"/>
          <w:color w:val="000000" w:themeColor="text1"/>
        </w:rPr>
        <w:t>business, and</w:t>
      </w:r>
      <w:proofErr w:type="gramEnd"/>
      <w:r w:rsidRPr="005D749F">
        <w:rPr>
          <w:rFonts w:ascii="Times New Roman" w:hAnsi="Times New Roman" w:cs="Times New Roman"/>
          <w:color w:val="000000" w:themeColor="text1"/>
        </w:rPr>
        <w:t xml:space="preserve"> requires any such organization to maintain a minimum net asset base of ¥50,000,000 and register with the relevant prefectural or national authority (FSA, 2024). The compliance burden associated with registration — including regular reporting, interest rate caps under the Interest Rate Restriction Act, and borrower protection obligations — is prohibitive for community-scale organizations.</w:t>
      </w:r>
    </w:p>
    <w:p w14:paraId="28412BB5"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legal distinction between a loan and a grant is precise and well-established in Japanese jurisprudence. A loan creates a legal obligation to repay. A grant does not. The Mujin Pledge of Honor is structured as a document of moral intent, not legal consequence. It records the recipient’s voluntary commitment to return the principal and a covenant contribution upon the success of their venture, but it creates no legal liability for non-performance and involves no debt collection mechanism. This structure removes the transaction from the jurisdiction of the Money Lending Business Act. Legal counsel is engaged prior to program launch to secure a formal opinion confirming this classification, and a No-Action Letter from the FSA’s FinTech Support Desk will be sought prior to scaling beyond the initial pilot cohort.</w:t>
      </w:r>
    </w:p>
    <w:p w14:paraId="6736893B" w14:textId="77777777" w:rsidR="00114486" w:rsidRPr="005D749F" w:rsidRDefault="00000000">
      <w:pPr>
        <w:pStyle w:val="Heading3"/>
        <w:rPr>
          <w:rFonts w:ascii="Times New Roman" w:hAnsi="Times New Roman" w:cs="Times New Roman"/>
          <w:color w:val="000000" w:themeColor="text1"/>
          <w:sz w:val="24"/>
          <w:szCs w:val="24"/>
        </w:rPr>
      </w:pPr>
      <w:bookmarkStart w:id="13" w:name="the-religious-corporation-structure"/>
      <w:bookmarkEnd w:id="12"/>
      <w:r w:rsidRPr="005D749F">
        <w:rPr>
          <w:rFonts w:ascii="Times New Roman" w:hAnsi="Times New Roman" w:cs="Times New Roman"/>
          <w:color w:val="000000" w:themeColor="text1"/>
          <w:sz w:val="24"/>
          <w:szCs w:val="24"/>
        </w:rPr>
        <w:t>5.2 The Religious Corporation Structure</w:t>
      </w:r>
    </w:p>
    <w:p w14:paraId="323B8B67"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Mujin operates as a Religious Corporation (Shukyo Hojin) under the Religious Corporations Act (Shukyo Hojin Ho, Act No. 126 of 1951). The Religious Corporation structure provides several material advantages for Mujin’s operating model. Religious Corporations are exempt from corporate income tax on income derived from religious activities. They are recognized as legal entities capable of entering into contracts, holding property, and receiving donations. Donations to Religious Corporations that meet certain criteria are tax-deductible for the donor, creating an incentive structure that supports the program’s fundraising activity.</w:t>
      </w:r>
    </w:p>
    <w:p w14:paraId="315FC8A2"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Religious Corporation structure also provides reputational alignment with the program’s distribution channel. The International Student Ministry network operates through church institutions, and the program’s credibility within that network is reinforced by its institutional identity as a Religious Corporation rather than a commercial entity.</w:t>
      </w:r>
    </w:p>
    <w:p w14:paraId="42A0BD00" w14:textId="77777777" w:rsidR="00114486" w:rsidRPr="005D749F" w:rsidRDefault="00000000">
      <w:pPr>
        <w:pStyle w:val="Heading3"/>
        <w:rPr>
          <w:rFonts w:ascii="Times New Roman" w:hAnsi="Times New Roman" w:cs="Times New Roman"/>
          <w:color w:val="000000" w:themeColor="text1"/>
          <w:sz w:val="24"/>
          <w:szCs w:val="24"/>
        </w:rPr>
      </w:pPr>
      <w:bookmarkStart w:id="14" w:name="the-deemed-donation-mechanism"/>
      <w:bookmarkEnd w:id="13"/>
      <w:r w:rsidRPr="005D749F">
        <w:rPr>
          <w:rFonts w:ascii="Times New Roman" w:hAnsi="Times New Roman" w:cs="Times New Roman"/>
          <w:color w:val="000000" w:themeColor="text1"/>
          <w:sz w:val="24"/>
          <w:szCs w:val="24"/>
        </w:rPr>
        <w:t>5.3 The Deemed Donation Mechanism</w:t>
      </w:r>
    </w:p>
    <w:p w14:paraId="2B7F9426"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The Deemed Donation (Minashi Kifu) provision of the Corporation Tax Act allows a Religious Corporation to deduct from its taxable income up to 20% of income generated from profit-making business activities, provided that this amount is donated to the corporation’s own non-profit welfare or religious account (National Tax Agency, 2024). For Mujin, the profit-making business activity is co-working space rental. Students enrolled in the program pay ¥10,000 per month for access to the Mujin Commons facility. This revenue is classified as profit-making business income, from which 20% is donated to the Mutual Aid Fund and the remaining 80% covers the Religious Corporation’s operational costs.</w:t>
      </w:r>
    </w:p>
    <w:p w14:paraId="586345E7" w14:textId="77777777" w:rsidR="00114486"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lastRenderedPageBreak/>
        <w:t>The practical effect is a self-funding operational model in which student co-working fees cover all program operating expenses while simultaneously generating a recurring contribution to the grant capital pool. Donor capital is not required to sustain operations at any scale achievable within the pilot and early growth phases. This represents a significant structural advantage over comparable programs that rely on donor capital to cover staffing, facilities, and administration.</w:t>
      </w:r>
    </w:p>
    <w:p w14:paraId="0D542BA1" w14:textId="77777777" w:rsidR="005D749F" w:rsidRDefault="005D749F">
      <w:pPr>
        <w:pStyle w:val="BodyText"/>
        <w:rPr>
          <w:rFonts w:ascii="Times New Roman" w:hAnsi="Times New Roman" w:cs="Times New Roman"/>
          <w:color w:val="000000" w:themeColor="text1"/>
        </w:rPr>
      </w:pPr>
    </w:p>
    <w:p w14:paraId="221D5859" w14:textId="77777777" w:rsidR="005D749F" w:rsidRDefault="005D749F">
      <w:pPr>
        <w:pStyle w:val="BodyText"/>
        <w:rPr>
          <w:rFonts w:ascii="Times New Roman" w:hAnsi="Times New Roman" w:cs="Times New Roman"/>
          <w:color w:val="000000" w:themeColor="text1"/>
        </w:rPr>
      </w:pPr>
    </w:p>
    <w:p w14:paraId="6F1E0FA8" w14:textId="77777777" w:rsidR="005D749F" w:rsidRDefault="005D749F">
      <w:pPr>
        <w:pStyle w:val="BodyText"/>
        <w:rPr>
          <w:rFonts w:ascii="Times New Roman" w:hAnsi="Times New Roman" w:cs="Times New Roman"/>
          <w:color w:val="000000" w:themeColor="text1"/>
        </w:rPr>
      </w:pPr>
    </w:p>
    <w:p w14:paraId="42CAB57E" w14:textId="77777777" w:rsidR="005D749F" w:rsidRDefault="005D749F">
      <w:pPr>
        <w:pStyle w:val="BodyText"/>
        <w:rPr>
          <w:rFonts w:ascii="Times New Roman" w:hAnsi="Times New Roman" w:cs="Times New Roman"/>
          <w:color w:val="000000" w:themeColor="text1"/>
        </w:rPr>
      </w:pPr>
    </w:p>
    <w:p w14:paraId="4FDD1D35" w14:textId="77777777" w:rsidR="005D749F" w:rsidRDefault="005D749F">
      <w:pPr>
        <w:pStyle w:val="BodyText"/>
        <w:rPr>
          <w:rFonts w:ascii="Times New Roman" w:hAnsi="Times New Roman" w:cs="Times New Roman"/>
          <w:color w:val="000000" w:themeColor="text1"/>
        </w:rPr>
      </w:pPr>
    </w:p>
    <w:p w14:paraId="1C607E6E" w14:textId="77777777" w:rsidR="005D749F" w:rsidRDefault="005D749F">
      <w:pPr>
        <w:pStyle w:val="BodyText"/>
        <w:rPr>
          <w:rFonts w:ascii="Times New Roman" w:hAnsi="Times New Roman" w:cs="Times New Roman"/>
          <w:color w:val="000000" w:themeColor="text1"/>
        </w:rPr>
      </w:pPr>
    </w:p>
    <w:p w14:paraId="5240C6ED" w14:textId="77777777" w:rsidR="005D749F" w:rsidRDefault="005D749F">
      <w:pPr>
        <w:pStyle w:val="BodyText"/>
        <w:rPr>
          <w:rFonts w:ascii="Times New Roman" w:hAnsi="Times New Roman" w:cs="Times New Roman"/>
          <w:color w:val="000000" w:themeColor="text1"/>
        </w:rPr>
      </w:pPr>
    </w:p>
    <w:p w14:paraId="4AB106D3" w14:textId="77777777" w:rsidR="005D749F" w:rsidRDefault="005D749F">
      <w:pPr>
        <w:pStyle w:val="BodyText"/>
        <w:rPr>
          <w:rFonts w:ascii="Times New Roman" w:hAnsi="Times New Roman" w:cs="Times New Roman"/>
          <w:color w:val="000000" w:themeColor="text1"/>
        </w:rPr>
      </w:pPr>
    </w:p>
    <w:p w14:paraId="6540B8E8" w14:textId="77777777" w:rsidR="005D749F" w:rsidRDefault="005D749F">
      <w:pPr>
        <w:pStyle w:val="BodyText"/>
        <w:rPr>
          <w:rFonts w:ascii="Times New Roman" w:hAnsi="Times New Roman" w:cs="Times New Roman"/>
          <w:color w:val="000000" w:themeColor="text1"/>
        </w:rPr>
      </w:pPr>
    </w:p>
    <w:p w14:paraId="21A49972" w14:textId="77777777" w:rsidR="005D749F" w:rsidRDefault="005D749F">
      <w:pPr>
        <w:pStyle w:val="BodyText"/>
        <w:rPr>
          <w:rFonts w:ascii="Times New Roman" w:hAnsi="Times New Roman" w:cs="Times New Roman"/>
          <w:color w:val="000000" w:themeColor="text1"/>
        </w:rPr>
      </w:pPr>
    </w:p>
    <w:p w14:paraId="7A2EDF7A" w14:textId="77777777" w:rsidR="005D749F" w:rsidRDefault="005D749F">
      <w:pPr>
        <w:pStyle w:val="BodyText"/>
        <w:rPr>
          <w:rFonts w:ascii="Times New Roman" w:hAnsi="Times New Roman" w:cs="Times New Roman"/>
          <w:color w:val="000000" w:themeColor="text1"/>
        </w:rPr>
      </w:pPr>
    </w:p>
    <w:p w14:paraId="01344CBF" w14:textId="77777777" w:rsidR="005D749F" w:rsidRDefault="005D749F">
      <w:pPr>
        <w:pStyle w:val="BodyText"/>
        <w:rPr>
          <w:rFonts w:ascii="Times New Roman" w:hAnsi="Times New Roman" w:cs="Times New Roman"/>
          <w:color w:val="000000" w:themeColor="text1"/>
        </w:rPr>
      </w:pPr>
    </w:p>
    <w:p w14:paraId="5C8B7156" w14:textId="77777777" w:rsidR="005D749F" w:rsidRDefault="005D749F">
      <w:pPr>
        <w:pStyle w:val="BodyText"/>
        <w:rPr>
          <w:rFonts w:ascii="Times New Roman" w:hAnsi="Times New Roman" w:cs="Times New Roman"/>
          <w:color w:val="000000" w:themeColor="text1"/>
        </w:rPr>
      </w:pPr>
    </w:p>
    <w:p w14:paraId="34A1C84A" w14:textId="77777777" w:rsidR="005D749F" w:rsidRDefault="005D749F">
      <w:pPr>
        <w:pStyle w:val="BodyText"/>
        <w:rPr>
          <w:rFonts w:ascii="Times New Roman" w:hAnsi="Times New Roman" w:cs="Times New Roman"/>
          <w:color w:val="000000" w:themeColor="text1"/>
        </w:rPr>
      </w:pPr>
    </w:p>
    <w:p w14:paraId="780132BA" w14:textId="77777777" w:rsidR="005D749F" w:rsidRDefault="005D749F">
      <w:pPr>
        <w:pStyle w:val="BodyText"/>
        <w:rPr>
          <w:rFonts w:ascii="Times New Roman" w:hAnsi="Times New Roman" w:cs="Times New Roman"/>
          <w:color w:val="000000" w:themeColor="text1"/>
        </w:rPr>
      </w:pPr>
    </w:p>
    <w:p w14:paraId="7170D443" w14:textId="77777777" w:rsidR="005D749F" w:rsidRDefault="005D749F">
      <w:pPr>
        <w:pStyle w:val="BodyText"/>
        <w:rPr>
          <w:rFonts w:ascii="Times New Roman" w:hAnsi="Times New Roman" w:cs="Times New Roman"/>
          <w:color w:val="000000" w:themeColor="text1"/>
        </w:rPr>
      </w:pPr>
    </w:p>
    <w:p w14:paraId="66D1EAC8" w14:textId="77777777" w:rsidR="005D749F" w:rsidRDefault="005D749F">
      <w:pPr>
        <w:pStyle w:val="BodyText"/>
        <w:rPr>
          <w:rFonts w:ascii="Times New Roman" w:hAnsi="Times New Roman" w:cs="Times New Roman"/>
          <w:color w:val="000000" w:themeColor="text1"/>
        </w:rPr>
      </w:pPr>
    </w:p>
    <w:p w14:paraId="2027B568" w14:textId="77777777" w:rsidR="005D749F" w:rsidRDefault="005D749F">
      <w:pPr>
        <w:pStyle w:val="BodyText"/>
        <w:rPr>
          <w:rFonts w:ascii="Times New Roman" w:hAnsi="Times New Roman" w:cs="Times New Roman"/>
          <w:color w:val="000000" w:themeColor="text1"/>
        </w:rPr>
      </w:pPr>
    </w:p>
    <w:p w14:paraId="4209F743" w14:textId="77777777" w:rsidR="005D749F" w:rsidRDefault="005D749F">
      <w:pPr>
        <w:pStyle w:val="BodyText"/>
        <w:rPr>
          <w:rFonts w:ascii="Times New Roman" w:hAnsi="Times New Roman" w:cs="Times New Roman"/>
          <w:color w:val="000000" w:themeColor="text1"/>
        </w:rPr>
      </w:pPr>
    </w:p>
    <w:p w14:paraId="547EEF7F" w14:textId="77777777" w:rsidR="005D749F" w:rsidRDefault="005D749F">
      <w:pPr>
        <w:pStyle w:val="BodyText"/>
        <w:rPr>
          <w:rFonts w:ascii="Times New Roman" w:hAnsi="Times New Roman" w:cs="Times New Roman"/>
          <w:color w:val="000000" w:themeColor="text1"/>
        </w:rPr>
      </w:pPr>
    </w:p>
    <w:p w14:paraId="1257B4D4" w14:textId="77777777" w:rsidR="005D749F" w:rsidRPr="005D749F" w:rsidRDefault="005D749F">
      <w:pPr>
        <w:pStyle w:val="BodyText"/>
        <w:rPr>
          <w:rFonts w:ascii="Times New Roman" w:hAnsi="Times New Roman" w:cs="Times New Roman"/>
          <w:color w:val="000000" w:themeColor="text1"/>
        </w:rPr>
      </w:pPr>
    </w:p>
    <w:p w14:paraId="737D8F6C" w14:textId="64F37F36" w:rsidR="00114486" w:rsidRPr="005D749F" w:rsidRDefault="00114486">
      <w:pPr>
        <w:rPr>
          <w:rFonts w:ascii="Times New Roman" w:hAnsi="Times New Roman" w:cs="Times New Roman"/>
          <w:color w:val="000000" w:themeColor="text1"/>
        </w:rPr>
      </w:pPr>
    </w:p>
    <w:p w14:paraId="32F420A4" w14:textId="77777777" w:rsidR="00114486" w:rsidRPr="005D749F" w:rsidRDefault="00000000">
      <w:pPr>
        <w:pStyle w:val="Heading2"/>
        <w:rPr>
          <w:rFonts w:ascii="Times New Roman" w:hAnsi="Times New Roman" w:cs="Times New Roman"/>
          <w:color w:val="000000" w:themeColor="text1"/>
          <w:sz w:val="24"/>
          <w:szCs w:val="24"/>
        </w:rPr>
      </w:pPr>
      <w:bookmarkStart w:id="15" w:name="the-mujin-2.0-model"/>
      <w:bookmarkEnd w:id="11"/>
      <w:bookmarkEnd w:id="14"/>
      <w:r w:rsidRPr="005D749F">
        <w:rPr>
          <w:rFonts w:ascii="Times New Roman" w:hAnsi="Times New Roman" w:cs="Times New Roman"/>
          <w:color w:val="000000" w:themeColor="text1"/>
          <w:sz w:val="24"/>
          <w:szCs w:val="24"/>
        </w:rPr>
        <w:lastRenderedPageBreak/>
        <w:t>6. The Mujin 2.0 Model</w:t>
      </w:r>
    </w:p>
    <w:p w14:paraId="5A94F789" w14:textId="77777777" w:rsidR="00114486" w:rsidRPr="005D749F" w:rsidRDefault="00000000">
      <w:pPr>
        <w:pStyle w:val="Heading3"/>
        <w:rPr>
          <w:rFonts w:ascii="Times New Roman" w:hAnsi="Times New Roman" w:cs="Times New Roman"/>
          <w:color w:val="000000" w:themeColor="text1"/>
          <w:sz w:val="24"/>
          <w:szCs w:val="24"/>
        </w:rPr>
      </w:pPr>
      <w:bookmarkStart w:id="16" w:name="the-recyclable-grant"/>
      <w:r w:rsidRPr="005D749F">
        <w:rPr>
          <w:rFonts w:ascii="Times New Roman" w:hAnsi="Times New Roman" w:cs="Times New Roman"/>
          <w:color w:val="000000" w:themeColor="text1"/>
          <w:sz w:val="24"/>
          <w:szCs w:val="24"/>
        </w:rPr>
        <w:t>6.1 The Recyclable Grant</w:t>
      </w:r>
    </w:p>
    <w:p w14:paraId="1FE9394F"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The Mujin Recyclable Grant provides ¥500,000 in venture funding per enrolled student, deployed in two tranches. The first tranche of ¥300,000 is disbursed upon program enrollment and signed Pledge of Honor. The second tranche of ¥200,000 is disbursed at the end of Month 3, contingent on sustained program participation and satisfactory Trust Score performance. The milestone-based disbursement structure reduces capital leakage and ensures that funds are applied to legitimate business development activity rather than general living expenses.</w:t>
      </w:r>
    </w:p>
    <w:p w14:paraId="51484CD0"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grant is not classified as a scholarship or a loan. It is structured as venture philanthropy — capital deployed in expectation of social return rather than financial return. The Pledge of Honor records the recipient’s intention to return the principal and a covenant contribution to the fund upon the success of their venture, but this pledge is explicitly non-binding. The program’s enforcement mechanism is social, not legal. Recipients who do not honor their pledge lose access to the Mujin alumni network and the program’s university career support partnerships. This social consequence is regarded as a more effective and more humane deterrent than debt collection mechanisms that would be legally unavailable under the grant classification.</w:t>
      </w:r>
    </w:p>
    <w:p w14:paraId="5DB79B7B"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¥500,000 threshold is strategically calibrated. It is sufficient to cover the essential costs of company incorporation in Japan — which typically range from ¥100,000 to ¥250,000 depending on structure — as well as initial prototyping expenses and visa filing fees. It falls within standard scholarship and research grant thresholds that are recognized by financial institutions as non-lending activity, further reinforcing the grant classification under the Money Lending Business Act.</w:t>
      </w:r>
    </w:p>
    <w:p w14:paraId="67D4A84E" w14:textId="77777777" w:rsidR="00114486" w:rsidRPr="005D749F" w:rsidRDefault="00000000">
      <w:pPr>
        <w:pStyle w:val="Heading3"/>
        <w:rPr>
          <w:rFonts w:ascii="Times New Roman" w:hAnsi="Times New Roman" w:cs="Times New Roman"/>
          <w:color w:val="000000" w:themeColor="text1"/>
          <w:sz w:val="24"/>
          <w:szCs w:val="24"/>
        </w:rPr>
      </w:pPr>
      <w:bookmarkStart w:id="17" w:name="the-physical-layer"/>
      <w:bookmarkEnd w:id="16"/>
      <w:r w:rsidRPr="005D749F">
        <w:rPr>
          <w:rFonts w:ascii="Times New Roman" w:hAnsi="Times New Roman" w:cs="Times New Roman"/>
          <w:color w:val="000000" w:themeColor="text1"/>
          <w:sz w:val="24"/>
          <w:szCs w:val="24"/>
        </w:rPr>
        <w:t>6.2 The Physical Layer</w:t>
      </w:r>
    </w:p>
    <w:p w14:paraId="6449A461"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Each Mujin program node operates within a church facility located within a fifteen-minute walking radius of a major university hub. The facility operates on a dual-use schedule: it functions as a religious and community center on weekends, retaining its tax-exempt status as a place of religious activity, and operates as the Mujin Commons — a secular co-working space — from Monday through Friday. This temporal division satisfies both the Religious Corporation Act’s requirements for religious activity and the revenue generation requirements of the Deemed Donation mechanism.</w:t>
      </w:r>
    </w:p>
    <w:p w14:paraId="78341A97"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Church Usage Agreement (shiyo-taishaku) provided to enrolled students is a formal legal instrument that satisfies the Ministry of Justice’s requirement for a physical base of operations for corporate incorporation and Business Manager Visa applications. The monthly fee of ¥10,000 is substantially below the market rate for commercial office space in central Tokyo, where comparable arrangements in Shinjuku or Shibuya typically range from ¥50,000 to ¥150,000 per month. This subsidized cost structure reduces the barrier to formal business establishment from a capital-intensive commitment to an operationally manageable expense, directly addressing the visa capital threshold challenge identified in Section 2.2.</w:t>
      </w:r>
    </w:p>
    <w:p w14:paraId="01ED0EA4"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The co-working environment also serves a programmatic function beyond its legal and financial roles. Town halls, mentor check-ins, and peer review sessions are conducted within the commons </w:t>
      </w:r>
      <w:r w:rsidRPr="005D749F">
        <w:rPr>
          <w:rFonts w:ascii="Times New Roman" w:hAnsi="Times New Roman" w:cs="Times New Roman"/>
          <w:color w:val="000000" w:themeColor="text1"/>
        </w:rPr>
        <w:lastRenderedPageBreak/>
        <w:t>space, creating the physical conditions for the social accountability that underpins the Trust Score system.</w:t>
      </w:r>
    </w:p>
    <w:p w14:paraId="7E575FBF" w14:textId="77777777" w:rsidR="00114486" w:rsidRPr="005D749F" w:rsidRDefault="00000000">
      <w:pPr>
        <w:pStyle w:val="Heading3"/>
        <w:rPr>
          <w:rFonts w:ascii="Times New Roman" w:hAnsi="Times New Roman" w:cs="Times New Roman"/>
          <w:color w:val="000000" w:themeColor="text1"/>
          <w:sz w:val="24"/>
          <w:szCs w:val="24"/>
        </w:rPr>
      </w:pPr>
      <w:bookmarkStart w:id="18" w:name="the-trust-engine"/>
      <w:bookmarkEnd w:id="17"/>
      <w:r w:rsidRPr="005D749F">
        <w:rPr>
          <w:rFonts w:ascii="Times New Roman" w:hAnsi="Times New Roman" w:cs="Times New Roman"/>
          <w:color w:val="000000" w:themeColor="text1"/>
          <w:sz w:val="24"/>
          <w:szCs w:val="24"/>
        </w:rPr>
        <w:t>6.3 The Trust Engine</w:t>
      </w:r>
    </w:p>
    <w:p w14:paraId="79012F1A"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The Trust Engine is Mujin’s core intellectual contribution to the problem of financial exclusion. Traditional credit assessment models are backward-looking: they evaluate what a borrower has historically earned, spent, borrowed, and repaid. For populations that have been excluded from the financial system, this approach produces a circular problem — the absence of credit history makes credit unavailable, which prevents the accumulation of credit history. The Trust Engine is designed to break this cycle by constructing a forward-looking behavioral profile based on demonstrated social accountability.</w:t>
      </w:r>
    </w:p>
    <w:p w14:paraId="3D78EDDC"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Trust Score is calculated from four equally weighted behavioral signals, each contributing 25% to the composite score. The table below presents the signal definitions and measurement methodologies.</w:t>
      </w:r>
    </w:p>
    <w:tbl>
      <w:tblPr>
        <w:tblStyle w:val="Table"/>
        <w:tblW w:w="5000" w:type="pct"/>
        <w:tblLayout w:type="fixed"/>
        <w:tblLook w:val="0020" w:firstRow="1" w:lastRow="0" w:firstColumn="0" w:lastColumn="0" w:noHBand="0" w:noVBand="0"/>
      </w:tblPr>
      <w:tblGrid>
        <w:gridCol w:w="1915"/>
        <w:gridCol w:w="5746"/>
        <w:gridCol w:w="1915"/>
      </w:tblGrid>
      <w:tr w:rsidR="00114486" w:rsidRPr="005D749F" w14:paraId="3CB5434A" w14:textId="77777777" w:rsidTr="00114486">
        <w:trPr>
          <w:cnfStyle w:val="100000000000" w:firstRow="1" w:lastRow="0" w:firstColumn="0" w:lastColumn="0" w:oddVBand="0" w:evenVBand="0" w:oddHBand="0" w:evenHBand="0" w:firstRowFirstColumn="0" w:firstRowLastColumn="0" w:lastRowFirstColumn="0" w:lastRowLastColumn="0"/>
          <w:tblHeader/>
        </w:trPr>
        <w:tc>
          <w:tcPr>
            <w:tcW w:w="1584" w:type="dxa"/>
          </w:tcPr>
          <w:p w14:paraId="6349DCAC"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Signal</w:t>
            </w:r>
          </w:p>
        </w:tc>
        <w:tc>
          <w:tcPr>
            <w:tcW w:w="4752" w:type="dxa"/>
          </w:tcPr>
          <w:p w14:paraId="23A3A4D4"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Measurement Methodology</w:t>
            </w:r>
          </w:p>
        </w:tc>
        <w:tc>
          <w:tcPr>
            <w:tcW w:w="1584" w:type="dxa"/>
          </w:tcPr>
          <w:p w14:paraId="57F71389"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Weight</w:t>
            </w:r>
          </w:p>
        </w:tc>
      </w:tr>
      <w:tr w:rsidR="00114486" w:rsidRPr="005D749F" w14:paraId="4B6F9EEF" w14:textId="77777777">
        <w:tc>
          <w:tcPr>
            <w:tcW w:w="1584" w:type="dxa"/>
          </w:tcPr>
          <w:p w14:paraId="10E34387"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Responsiveness</w:t>
            </w:r>
          </w:p>
        </w:tc>
        <w:tc>
          <w:tcPr>
            <w:tcW w:w="4752" w:type="dxa"/>
          </w:tcPr>
          <w:p w14:paraId="79A25D1E"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Percentage of bi-weekly scheduled mentor check-ins attended by the student</w:t>
            </w:r>
          </w:p>
        </w:tc>
        <w:tc>
          <w:tcPr>
            <w:tcW w:w="1584" w:type="dxa"/>
          </w:tcPr>
          <w:p w14:paraId="64DB4840"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25%</w:t>
            </w:r>
          </w:p>
        </w:tc>
      </w:tr>
      <w:tr w:rsidR="00114486" w:rsidRPr="005D749F" w14:paraId="786A2A41" w14:textId="77777777">
        <w:tc>
          <w:tcPr>
            <w:tcW w:w="1584" w:type="dxa"/>
          </w:tcPr>
          <w:p w14:paraId="14310EF1"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Transparency</w:t>
            </w:r>
          </w:p>
        </w:tc>
        <w:tc>
          <w:tcPr>
            <w:tcW w:w="4752" w:type="dxa"/>
          </w:tcPr>
          <w:p w14:paraId="3916FE68"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Monthly Profit and Loss statement submitted on time and assessed for completeness, including periods of zero revenue</w:t>
            </w:r>
          </w:p>
        </w:tc>
        <w:tc>
          <w:tcPr>
            <w:tcW w:w="1584" w:type="dxa"/>
          </w:tcPr>
          <w:p w14:paraId="422AA0DE"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25%</w:t>
            </w:r>
          </w:p>
        </w:tc>
      </w:tr>
      <w:tr w:rsidR="00114486" w:rsidRPr="005D749F" w14:paraId="76B2781E" w14:textId="77777777">
        <w:tc>
          <w:tcPr>
            <w:tcW w:w="1584" w:type="dxa"/>
          </w:tcPr>
          <w:p w14:paraId="1BE3F601"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Mutualism</w:t>
            </w:r>
          </w:p>
        </w:tc>
        <w:tc>
          <w:tcPr>
            <w:tcW w:w="4752" w:type="dxa"/>
          </w:tcPr>
          <w:p w14:paraId="1361378B"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Monthly Town Hall attendance, recorded and verified through peer-reported majority rule</w:t>
            </w:r>
          </w:p>
        </w:tc>
        <w:tc>
          <w:tcPr>
            <w:tcW w:w="1584" w:type="dxa"/>
          </w:tcPr>
          <w:p w14:paraId="139C854C"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25%</w:t>
            </w:r>
          </w:p>
        </w:tc>
      </w:tr>
      <w:tr w:rsidR="00114486" w:rsidRPr="005D749F" w14:paraId="78102B9F" w14:textId="77777777">
        <w:tc>
          <w:tcPr>
            <w:tcW w:w="1584" w:type="dxa"/>
          </w:tcPr>
          <w:p w14:paraId="37B709FD"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Reflection</w:t>
            </w:r>
          </w:p>
        </w:tc>
        <w:tc>
          <w:tcPr>
            <w:tcW w:w="4752" w:type="dxa"/>
          </w:tcPr>
          <w:p w14:paraId="040708C1"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Monthly written reflection submitted and assessed for substantive engagement using AI-assisted qualitative review</w:t>
            </w:r>
          </w:p>
        </w:tc>
        <w:tc>
          <w:tcPr>
            <w:tcW w:w="1584" w:type="dxa"/>
          </w:tcPr>
          <w:p w14:paraId="1CE77F6D"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25%</w:t>
            </w:r>
          </w:p>
        </w:tc>
      </w:tr>
    </w:tbl>
    <w:p w14:paraId="1F66675A"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Each signal is designed to measure a dimension of behavioral reliability that is both observable and directly relevant to the characteristics of a trustworthy financial partner. Responsiveness captures the student’s commitment to their accountability relationships. Transparency captures their honesty regarding financial performance, including during periods of poor results — a metric that traditional credit bureaus do not capture. Mutualism captures their investment in the peer community, which functions as both a support network and a social accountability mechanism. Reflection captures their capacity for self-assessment and learning from experience.</w:t>
      </w:r>
    </w:p>
    <w:p w14:paraId="3697B373"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The composite Trust Score is expressed as a percentage and classified according to a three-tier traffic light system: Green (75 to 100), indicating strong behavioral performance; Yellow (50 to 74), indicating satisfactory performance with areas for improvement; and Red (0 to 49), indicating concerning performance that triggers a mentorship review. Advancement toward graduation requires a sustained </w:t>
      </w:r>
      <w:proofErr w:type="gramStart"/>
      <w:r w:rsidRPr="005D749F">
        <w:rPr>
          <w:rFonts w:ascii="Times New Roman" w:hAnsi="Times New Roman" w:cs="Times New Roman"/>
          <w:color w:val="000000" w:themeColor="text1"/>
        </w:rPr>
        <w:t>Green</w:t>
      </w:r>
      <w:proofErr w:type="gramEnd"/>
      <w:r w:rsidRPr="005D749F">
        <w:rPr>
          <w:rFonts w:ascii="Times New Roman" w:hAnsi="Times New Roman" w:cs="Times New Roman"/>
          <w:color w:val="000000" w:themeColor="text1"/>
        </w:rPr>
        <w:t xml:space="preserve"> score for six consecutive months, ensuring that the score reflects consistent behavioral reliability rather than short-term compliance.</w:t>
      </w:r>
    </w:p>
    <w:p w14:paraId="74CC0EC0"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The Trust Score is governed in accordance with the Act on the Protection of Personal Information (APPI) as amended in 2022 and further updated in 2025. All data collection operates on a strict opt-in basis, with explicit informed consent obtained from each enrolled student prior to scoring. Students have the right to access their score components, understand the factors </w:t>
      </w:r>
      <w:r w:rsidRPr="005D749F">
        <w:rPr>
          <w:rFonts w:ascii="Times New Roman" w:hAnsi="Times New Roman" w:cs="Times New Roman"/>
          <w:color w:val="000000" w:themeColor="text1"/>
        </w:rPr>
        <w:lastRenderedPageBreak/>
        <w:t xml:space="preserve">driving their assessment, and appeal individual score determinations through a documented review process. Automated decision-making does not operate as a black box; each score component is explainable and </w:t>
      </w:r>
      <w:proofErr w:type="gramStart"/>
      <w:r w:rsidRPr="005D749F">
        <w:rPr>
          <w:rFonts w:ascii="Times New Roman" w:hAnsi="Times New Roman" w:cs="Times New Roman"/>
          <w:color w:val="000000" w:themeColor="text1"/>
        </w:rPr>
        <w:t>human-reviewable</w:t>
      </w:r>
      <w:proofErr w:type="gramEnd"/>
      <w:r w:rsidRPr="005D749F">
        <w:rPr>
          <w:rFonts w:ascii="Times New Roman" w:hAnsi="Times New Roman" w:cs="Times New Roman"/>
          <w:color w:val="000000" w:themeColor="text1"/>
        </w:rPr>
        <w:t>.</w:t>
      </w:r>
    </w:p>
    <w:p w14:paraId="535EE2FF" w14:textId="77777777" w:rsidR="00114486" w:rsidRPr="005D749F" w:rsidRDefault="00000000">
      <w:pPr>
        <w:pStyle w:val="Heading3"/>
        <w:rPr>
          <w:rFonts w:ascii="Times New Roman" w:hAnsi="Times New Roman" w:cs="Times New Roman"/>
          <w:color w:val="000000" w:themeColor="text1"/>
          <w:sz w:val="24"/>
          <w:szCs w:val="24"/>
        </w:rPr>
      </w:pPr>
      <w:bookmarkStart w:id="19" w:name="Xc99f5f529e1b3315cf1648f249581d9238039f2"/>
      <w:bookmarkEnd w:id="18"/>
      <w:r w:rsidRPr="005D749F">
        <w:rPr>
          <w:rFonts w:ascii="Times New Roman" w:hAnsi="Times New Roman" w:cs="Times New Roman"/>
          <w:color w:val="000000" w:themeColor="text1"/>
          <w:sz w:val="24"/>
          <w:szCs w:val="24"/>
        </w:rPr>
        <w:t>6.4 Graduation and the Institutional Handshake</w:t>
      </w:r>
    </w:p>
    <w:p w14:paraId="7A37253A"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The program’s terminal objective is not the deployment of capital. It is the graduation of the student into the mainstream financial system. This transition — the institutional handshake — is the mechanism by which Mujin converts social collateral into recognized financial credibility.</w:t>
      </w:r>
    </w:p>
    <w:p w14:paraId="309C250C"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Graduation is triggered when a student satisfies all four of the following conditions. First, the student’s company must be formally incorporated and its primary product or service must be operational. Second, the student must demonstrate three consecutive months of non-negative cash flow, defined as monthly revenue meeting or exceeding monthly expenses. Third, the student must maintain a Green Trust Score for six consecutive months immediately preceding the graduation application. Fourth, the student must complete and pass a formal exit interview conducted by the program’s assessment panel.</w:t>
      </w:r>
    </w:p>
    <w:p w14:paraId="71460450"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Students who satisfy these conditions enter the graduation state machine, which progresses through the following stages: Ineligible, Eligible, Interview Scheduled, Interview Passed or </w:t>
      </w:r>
      <w:proofErr w:type="gramStart"/>
      <w:r w:rsidRPr="005D749F">
        <w:rPr>
          <w:rFonts w:ascii="Times New Roman" w:hAnsi="Times New Roman" w:cs="Times New Roman"/>
          <w:color w:val="000000" w:themeColor="text1"/>
        </w:rPr>
        <w:t>Failed, and</w:t>
      </w:r>
      <w:proofErr w:type="gramEnd"/>
      <w:r w:rsidRPr="005D749F">
        <w:rPr>
          <w:rFonts w:ascii="Times New Roman" w:hAnsi="Times New Roman" w:cs="Times New Roman"/>
          <w:color w:val="000000" w:themeColor="text1"/>
        </w:rPr>
        <w:t xml:space="preserve"> Graduated. Students who fail the exit interview remain in the program and may reapply upon meeting the conditions again. This structure ensures that the graduation credential carries consistent meaning across cohorts.</w:t>
      </w:r>
    </w:p>
    <w:p w14:paraId="262071CB" w14:textId="77777777" w:rsidR="00114486"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Upon graduation, Mujin facilitates a formal introduction to institutional banking partners. The program’s primary banking target is the Japan Finance Corporation (JFC), a government-affiliated institution whose mandate includes support for small and medium enterprises and young entrepreneurs. Secondary targets include regional banks in the Kiraboshi and Tokyo Star networks, approached through the FinCity Tokyo initiative. The Trust Score record, the cash flow documentation, and the exit interview assessment collectively constitute the social collateral package presented to the banking partner. Under negotiated Memoranda of Understanding (MOUs), partner banks agree to recognize this package as a valid alternative to conventional credit bureau records for the purpose of opening corporate accounts and initiating credit relationships.</w:t>
      </w:r>
    </w:p>
    <w:p w14:paraId="08BD6998" w14:textId="77777777" w:rsidR="005D749F" w:rsidRDefault="005D749F">
      <w:pPr>
        <w:pStyle w:val="BodyText"/>
        <w:rPr>
          <w:rFonts w:ascii="Times New Roman" w:hAnsi="Times New Roman" w:cs="Times New Roman"/>
          <w:color w:val="000000" w:themeColor="text1"/>
        </w:rPr>
      </w:pPr>
    </w:p>
    <w:p w14:paraId="446EEC54" w14:textId="77777777" w:rsidR="005D749F" w:rsidRDefault="005D749F">
      <w:pPr>
        <w:pStyle w:val="BodyText"/>
        <w:rPr>
          <w:rFonts w:ascii="Times New Roman" w:hAnsi="Times New Roman" w:cs="Times New Roman"/>
          <w:color w:val="000000" w:themeColor="text1"/>
        </w:rPr>
      </w:pPr>
    </w:p>
    <w:p w14:paraId="6DFAC8D7" w14:textId="77777777" w:rsidR="005D749F" w:rsidRDefault="005D749F">
      <w:pPr>
        <w:pStyle w:val="BodyText"/>
        <w:rPr>
          <w:rFonts w:ascii="Times New Roman" w:hAnsi="Times New Roman" w:cs="Times New Roman"/>
          <w:color w:val="000000" w:themeColor="text1"/>
        </w:rPr>
      </w:pPr>
    </w:p>
    <w:p w14:paraId="65292DB1" w14:textId="77777777" w:rsidR="005D749F" w:rsidRDefault="005D749F">
      <w:pPr>
        <w:pStyle w:val="BodyText"/>
        <w:rPr>
          <w:rFonts w:ascii="Times New Roman" w:hAnsi="Times New Roman" w:cs="Times New Roman"/>
          <w:color w:val="000000" w:themeColor="text1"/>
        </w:rPr>
      </w:pPr>
    </w:p>
    <w:p w14:paraId="37CB84A3" w14:textId="77777777" w:rsidR="005D749F" w:rsidRDefault="005D749F">
      <w:pPr>
        <w:pStyle w:val="BodyText"/>
        <w:rPr>
          <w:rFonts w:ascii="Times New Roman" w:hAnsi="Times New Roman" w:cs="Times New Roman"/>
          <w:color w:val="000000" w:themeColor="text1"/>
        </w:rPr>
      </w:pPr>
    </w:p>
    <w:p w14:paraId="2FBC7B64" w14:textId="77777777" w:rsidR="005D749F" w:rsidRPr="005D749F" w:rsidRDefault="005D749F">
      <w:pPr>
        <w:pStyle w:val="BodyText"/>
        <w:rPr>
          <w:rFonts w:ascii="Times New Roman" w:hAnsi="Times New Roman" w:cs="Times New Roman"/>
          <w:color w:val="000000" w:themeColor="text1"/>
        </w:rPr>
      </w:pPr>
    </w:p>
    <w:p w14:paraId="45BA2E78" w14:textId="6C64240A" w:rsidR="00114486" w:rsidRPr="005D749F" w:rsidRDefault="00114486">
      <w:pPr>
        <w:rPr>
          <w:rFonts w:ascii="Times New Roman" w:hAnsi="Times New Roman" w:cs="Times New Roman"/>
          <w:color w:val="000000" w:themeColor="text1"/>
        </w:rPr>
      </w:pPr>
    </w:p>
    <w:p w14:paraId="12959481" w14:textId="77777777" w:rsidR="00114486" w:rsidRPr="005D749F" w:rsidRDefault="00000000">
      <w:pPr>
        <w:pStyle w:val="Heading2"/>
        <w:rPr>
          <w:rFonts w:ascii="Times New Roman" w:hAnsi="Times New Roman" w:cs="Times New Roman"/>
          <w:color w:val="000000" w:themeColor="text1"/>
          <w:sz w:val="24"/>
          <w:szCs w:val="24"/>
        </w:rPr>
      </w:pPr>
      <w:bookmarkStart w:id="20" w:name="distribution-strategy-the-ism-network"/>
      <w:bookmarkEnd w:id="15"/>
      <w:bookmarkEnd w:id="19"/>
      <w:r w:rsidRPr="005D749F">
        <w:rPr>
          <w:rFonts w:ascii="Times New Roman" w:hAnsi="Times New Roman" w:cs="Times New Roman"/>
          <w:color w:val="000000" w:themeColor="text1"/>
          <w:sz w:val="24"/>
          <w:szCs w:val="24"/>
        </w:rPr>
        <w:lastRenderedPageBreak/>
        <w:t>7. Distribution Strategy: The ISM Network</w:t>
      </w:r>
    </w:p>
    <w:p w14:paraId="0F6EC35A"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Mujin does not operate as an open-market application program. Student enrollment is relationship-gated through the International Student Ministry (ISM) network, a constellation of parachurch organizations active among international students at Japanese universities. The primary network organizations include the International Fellowship of Evangelical Students affiliate bodies operating in Japan, the Kirisutoshakai Gakusei Kai (KGK), Campus Crusade for Christ Japan (CCC), and the Japan Christian Ministry Network (JCMN).</w:t>
      </w:r>
    </w:p>
    <w:p w14:paraId="274906CC"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This distribution strategy is deliberate and reflects the program’s core operating principle: that social collateral requires social grounding. A behavioral Trust Score is only meaningful if the community within which behavior is measured is itself coherent and accountable. The ISM network provides this grounding. Pastoral and ISM worker introductions serve as the first filter in the student selection process — a recommendation from a known and trusted figure within the network carries weight that no application form can replicate.</w:t>
      </w:r>
    </w:p>
    <w:p w14:paraId="3796954E"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Andrew Feng, Director of Programs, holds established relationships with key figures across the ISM network, including contacts at the primary parachurch organizations. This positional advantage reduces the cold-start problem that typically inhibits the launch of community-gated programs. Pastoral contacts are engaged through a manifesto-and-conversation approach rather than formal solicitation — relationships are established before programmatic asks are made.</w:t>
      </w:r>
    </w:p>
    <w:p w14:paraId="26EA98F8"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Taito City multicultural coexistence partner registration process provides a parallel institutional channel. Under the Tokyo Metropolitan Government’s Multicultural Coexistence Promotion Program, community organizations that serve foreign residents can apply for official partner recognition, which includes referral pathways from ward offices to newly registered foreign residents. Mujin’s alignment with this framework provides access to a government-credentialed distribution channel that complements the ISM network’s community-based approach.</w:t>
      </w:r>
    </w:p>
    <w:p w14:paraId="10FB2E73" w14:textId="58C78346" w:rsidR="00114486" w:rsidRDefault="00114486">
      <w:pPr>
        <w:rPr>
          <w:rFonts w:ascii="Times New Roman" w:hAnsi="Times New Roman" w:cs="Times New Roman"/>
          <w:color w:val="000000" w:themeColor="text1"/>
        </w:rPr>
      </w:pPr>
    </w:p>
    <w:p w14:paraId="7B77E308" w14:textId="77777777" w:rsidR="005D749F" w:rsidRDefault="005D749F">
      <w:pPr>
        <w:rPr>
          <w:rFonts w:ascii="Times New Roman" w:hAnsi="Times New Roman" w:cs="Times New Roman"/>
          <w:color w:val="000000" w:themeColor="text1"/>
        </w:rPr>
      </w:pPr>
    </w:p>
    <w:p w14:paraId="66C520C2" w14:textId="77777777" w:rsidR="005D749F" w:rsidRDefault="005D749F">
      <w:pPr>
        <w:rPr>
          <w:rFonts w:ascii="Times New Roman" w:hAnsi="Times New Roman" w:cs="Times New Roman"/>
          <w:color w:val="000000" w:themeColor="text1"/>
        </w:rPr>
      </w:pPr>
    </w:p>
    <w:p w14:paraId="19D2D4E1" w14:textId="77777777" w:rsidR="005D749F" w:rsidRDefault="005D749F">
      <w:pPr>
        <w:rPr>
          <w:rFonts w:ascii="Times New Roman" w:hAnsi="Times New Roman" w:cs="Times New Roman"/>
          <w:color w:val="000000" w:themeColor="text1"/>
        </w:rPr>
      </w:pPr>
    </w:p>
    <w:p w14:paraId="3485E90D" w14:textId="77777777" w:rsidR="005D749F" w:rsidRDefault="005D749F">
      <w:pPr>
        <w:rPr>
          <w:rFonts w:ascii="Times New Roman" w:hAnsi="Times New Roman" w:cs="Times New Roman"/>
          <w:color w:val="000000" w:themeColor="text1"/>
        </w:rPr>
      </w:pPr>
    </w:p>
    <w:p w14:paraId="1332EBC8" w14:textId="77777777" w:rsidR="005D749F" w:rsidRDefault="005D749F">
      <w:pPr>
        <w:rPr>
          <w:rFonts w:ascii="Times New Roman" w:hAnsi="Times New Roman" w:cs="Times New Roman"/>
          <w:color w:val="000000" w:themeColor="text1"/>
        </w:rPr>
      </w:pPr>
    </w:p>
    <w:p w14:paraId="304AA16F" w14:textId="77777777" w:rsidR="005D749F" w:rsidRDefault="005D749F">
      <w:pPr>
        <w:rPr>
          <w:rFonts w:ascii="Times New Roman" w:hAnsi="Times New Roman" w:cs="Times New Roman"/>
          <w:color w:val="000000" w:themeColor="text1"/>
        </w:rPr>
      </w:pPr>
    </w:p>
    <w:p w14:paraId="0A7DCA38" w14:textId="77777777" w:rsidR="005D749F" w:rsidRPr="005D749F" w:rsidRDefault="005D749F">
      <w:pPr>
        <w:rPr>
          <w:rFonts w:ascii="Times New Roman" w:hAnsi="Times New Roman" w:cs="Times New Roman"/>
          <w:color w:val="000000" w:themeColor="text1"/>
        </w:rPr>
      </w:pPr>
    </w:p>
    <w:p w14:paraId="0F31A8C7" w14:textId="77777777" w:rsidR="00114486" w:rsidRPr="005D749F" w:rsidRDefault="00000000">
      <w:pPr>
        <w:pStyle w:val="Heading2"/>
        <w:rPr>
          <w:rFonts w:ascii="Times New Roman" w:hAnsi="Times New Roman" w:cs="Times New Roman"/>
          <w:color w:val="000000" w:themeColor="text1"/>
          <w:sz w:val="24"/>
          <w:szCs w:val="24"/>
        </w:rPr>
      </w:pPr>
      <w:bookmarkStart w:id="21" w:name="financial-projections"/>
      <w:bookmarkEnd w:id="20"/>
      <w:r w:rsidRPr="005D749F">
        <w:rPr>
          <w:rFonts w:ascii="Times New Roman" w:hAnsi="Times New Roman" w:cs="Times New Roman"/>
          <w:color w:val="000000" w:themeColor="text1"/>
          <w:sz w:val="24"/>
          <w:szCs w:val="24"/>
        </w:rPr>
        <w:lastRenderedPageBreak/>
        <w:t>8. Financial Projections</w:t>
      </w:r>
    </w:p>
    <w:p w14:paraId="7F249A34" w14:textId="77777777" w:rsidR="00114486" w:rsidRPr="005D749F" w:rsidRDefault="00000000">
      <w:pPr>
        <w:pStyle w:val="Heading3"/>
        <w:rPr>
          <w:rFonts w:ascii="Times New Roman" w:hAnsi="Times New Roman" w:cs="Times New Roman"/>
          <w:color w:val="000000" w:themeColor="text1"/>
          <w:sz w:val="24"/>
          <w:szCs w:val="24"/>
        </w:rPr>
      </w:pPr>
      <w:bookmarkStart w:id="22" w:name="capital-deployment-model"/>
      <w:r w:rsidRPr="005D749F">
        <w:rPr>
          <w:rFonts w:ascii="Times New Roman" w:hAnsi="Times New Roman" w:cs="Times New Roman"/>
          <w:color w:val="000000" w:themeColor="text1"/>
          <w:sz w:val="24"/>
          <w:szCs w:val="24"/>
        </w:rPr>
        <w:t>8.1 Capital Deployment Model</w:t>
      </w:r>
    </w:p>
    <w:p w14:paraId="3A3CBAC5"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The fundraising target of ¥158,700,000 (USD $1,000,000) is derived from the seven-year deployment model presented in this section. The figure represents the capital required to fund grant deployment across seven annual cohorts, maintain a reserve sufficient to bridge the period before recycled capital becomes operationally significant, and sustain the reserve fund beyond the seven-year horizon without additional donor support. All operational costs are excluded from the donor capital requirement, as they are covered by co-working revenue and the Deemed Donation mechanism described in Section 5.3.</w:t>
      </w:r>
    </w:p>
    <w:p w14:paraId="46D5F766"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capital deployment model rests on four primary assumptions. The graduation rate of 45% is derived from global small business viability research, which indicates that approximately 40% to 60% of small businesses achieve operational sustainability within three years of launch (Kauffman Foundation, 2023; Bureau of Labor Statistics, 2023). The 45% figure represents the conservative midpoint of this range, adjusted downward to account for Japan’s historically higher small business failure stigma and the additional complexity of operating as a foreign national. The capital return rate of 75% among graduates reflects the program’s structural social accountability mechanisms and is the assumption most subject to revision as pilot data emerges. The return timeline of 24 to 36 months reflects the median time to non-negative cash flow of approximately 18 to 24 months documented by the Kauffman Foundation (2023), plus the graduation gate process duration. The co-working revenue figure of ¥10,000 per student per month is a fixed program design parameter derived from the Church Usage Agreement structure, not an estimate.</w:t>
      </w:r>
    </w:p>
    <w:p w14:paraId="1980EA1C" w14:textId="77777777" w:rsidR="00114486" w:rsidRPr="005D749F" w:rsidRDefault="00000000">
      <w:pPr>
        <w:pStyle w:val="Heading3"/>
        <w:rPr>
          <w:rFonts w:ascii="Times New Roman" w:hAnsi="Times New Roman" w:cs="Times New Roman"/>
          <w:color w:val="000000" w:themeColor="text1"/>
          <w:sz w:val="24"/>
          <w:szCs w:val="24"/>
        </w:rPr>
      </w:pPr>
      <w:bookmarkStart w:id="23" w:name="seven-year-projection"/>
      <w:bookmarkEnd w:id="22"/>
      <w:r w:rsidRPr="005D749F">
        <w:rPr>
          <w:rFonts w:ascii="Times New Roman" w:hAnsi="Times New Roman" w:cs="Times New Roman"/>
          <w:color w:val="000000" w:themeColor="text1"/>
          <w:sz w:val="24"/>
          <w:szCs w:val="24"/>
        </w:rPr>
        <w:t>8.2 Seven-Year Projection</w:t>
      </w:r>
    </w:p>
    <w:p w14:paraId="01A1F6CA"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The table below presents the seven-year fund projection, showing annual cohort deployment, grant capital disbursed, recycled capital returning to the fund, the Deemed Donation contribution from co-working revenue, and the resulting fund balance at year end.</w:t>
      </w:r>
    </w:p>
    <w:tbl>
      <w:tblPr>
        <w:tblStyle w:val="Table"/>
        <w:tblW w:w="5000" w:type="pct"/>
        <w:tblLayout w:type="fixed"/>
        <w:tblLook w:val="0020" w:firstRow="1" w:lastRow="0" w:firstColumn="0" w:lastColumn="0" w:noHBand="0" w:noVBand="0"/>
      </w:tblPr>
      <w:tblGrid>
        <w:gridCol w:w="543"/>
        <w:gridCol w:w="722"/>
        <w:gridCol w:w="1716"/>
        <w:gridCol w:w="1445"/>
        <w:gridCol w:w="1536"/>
        <w:gridCol w:w="1536"/>
        <w:gridCol w:w="904"/>
        <w:gridCol w:w="1174"/>
      </w:tblGrid>
      <w:tr w:rsidR="00114486" w:rsidRPr="005D749F" w14:paraId="1D2F3066" w14:textId="77777777" w:rsidTr="00114486">
        <w:trPr>
          <w:cnfStyle w:val="100000000000" w:firstRow="1" w:lastRow="0" w:firstColumn="0" w:lastColumn="0" w:oddVBand="0" w:evenVBand="0" w:oddHBand="0" w:evenHBand="0" w:firstRowFirstColumn="0" w:firstRowLastColumn="0" w:lastRowFirstColumn="0" w:lastRowLastColumn="0"/>
          <w:tblHeader/>
        </w:trPr>
        <w:tc>
          <w:tcPr>
            <w:tcW w:w="448" w:type="dxa"/>
          </w:tcPr>
          <w:p w14:paraId="3D8542DA"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Year</w:t>
            </w:r>
          </w:p>
        </w:tc>
        <w:tc>
          <w:tcPr>
            <w:tcW w:w="597" w:type="dxa"/>
          </w:tcPr>
          <w:p w14:paraId="3C628A20"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Cohort</w:t>
            </w:r>
          </w:p>
        </w:tc>
        <w:tc>
          <w:tcPr>
            <w:tcW w:w="1419" w:type="dxa"/>
          </w:tcPr>
          <w:p w14:paraId="2B59C644"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Students Enrolled</w:t>
            </w:r>
          </w:p>
        </w:tc>
        <w:tc>
          <w:tcPr>
            <w:tcW w:w="1195" w:type="dxa"/>
          </w:tcPr>
          <w:p w14:paraId="2E17F3F9"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Grant Deployed</w:t>
            </w:r>
          </w:p>
        </w:tc>
        <w:tc>
          <w:tcPr>
            <w:tcW w:w="1270" w:type="dxa"/>
          </w:tcPr>
          <w:p w14:paraId="67F7660E"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Recycled Capital</w:t>
            </w:r>
          </w:p>
        </w:tc>
        <w:tc>
          <w:tcPr>
            <w:tcW w:w="1270" w:type="dxa"/>
          </w:tcPr>
          <w:p w14:paraId="191315AF"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Deemed Donation</w:t>
            </w:r>
          </w:p>
        </w:tc>
        <w:tc>
          <w:tcPr>
            <w:tcW w:w="747" w:type="dxa"/>
          </w:tcPr>
          <w:p w14:paraId="0C3391F3"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Net Draw</w:t>
            </w:r>
          </w:p>
        </w:tc>
        <w:tc>
          <w:tcPr>
            <w:tcW w:w="971" w:type="dxa"/>
          </w:tcPr>
          <w:p w14:paraId="3172D3AC"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Fund Balance</w:t>
            </w:r>
          </w:p>
        </w:tc>
      </w:tr>
      <w:tr w:rsidR="00114486" w:rsidRPr="005D749F" w14:paraId="2DA41DBB" w14:textId="77777777">
        <w:tc>
          <w:tcPr>
            <w:tcW w:w="448" w:type="dxa"/>
          </w:tcPr>
          <w:p w14:paraId="36607466"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2027</w:t>
            </w:r>
          </w:p>
        </w:tc>
        <w:tc>
          <w:tcPr>
            <w:tcW w:w="597" w:type="dxa"/>
          </w:tcPr>
          <w:p w14:paraId="2D5E4180"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w:t>
            </w:r>
          </w:p>
        </w:tc>
        <w:tc>
          <w:tcPr>
            <w:tcW w:w="1419" w:type="dxa"/>
          </w:tcPr>
          <w:p w14:paraId="14039A2D"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15</w:t>
            </w:r>
          </w:p>
        </w:tc>
        <w:tc>
          <w:tcPr>
            <w:tcW w:w="1195" w:type="dxa"/>
          </w:tcPr>
          <w:p w14:paraId="693E7F8B"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¥7.5M</w:t>
            </w:r>
          </w:p>
        </w:tc>
        <w:tc>
          <w:tcPr>
            <w:tcW w:w="1270" w:type="dxa"/>
          </w:tcPr>
          <w:p w14:paraId="1DAFF77A"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¥0</w:t>
            </w:r>
          </w:p>
        </w:tc>
        <w:tc>
          <w:tcPr>
            <w:tcW w:w="1270" w:type="dxa"/>
          </w:tcPr>
          <w:p w14:paraId="02B5C017"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¥0.4M</w:t>
            </w:r>
          </w:p>
        </w:tc>
        <w:tc>
          <w:tcPr>
            <w:tcW w:w="747" w:type="dxa"/>
          </w:tcPr>
          <w:p w14:paraId="1196F1BF"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¥7.1M</w:t>
            </w:r>
          </w:p>
        </w:tc>
        <w:tc>
          <w:tcPr>
            <w:tcW w:w="971" w:type="dxa"/>
          </w:tcPr>
          <w:p w14:paraId="66C4F97D"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¥151.6M</w:t>
            </w:r>
          </w:p>
        </w:tc>
      </w:tr>
      <w:tr w:rsidR="00114486" w:rsidRPr="005D749F" w14:paraId="29490189" w14:textId="77777777">
        <w:tc>
          <w:tcPr>
            <w:tcW w:w="448" w:type="dxa"/>
          </w:tcPr>
          <w:p w14:paraId="0C15694D"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2028</w:t>
            </w:r>
          </w:p>
        </w:tc>
        <w:tc>
          <w:tcPr>
            <w:tcW w:w="597" w:type="dxa"/>
          </w:tcPr>
          <w:p w14:paraId="2C7564B3"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w:t>
            </w:r>
          </w:p>
        </w:tc>
        <w:tc>
          <w:tcPr>
            <w:tcW w:w="1419" w:type="dxa"/>
          </w:tcPr>
          <w:p w14:paraId="2EA4E392"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25</w:t>
            </w:r>
          </w:p>
        </w:tc>
        <w:tc>
          <w:tcPr>
            <w:tcW w:w="1195" w:type="dxa"/>
          </w:tcPr>
          <w:p w14:paraId="06BB28E4"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¥12.5M</w:t>
            </w:r>
          </w:p>
        </w:tc>
        <w:tc>
          <w:tcPr>
            <w:tcW w:w="1270" w:type="dxa"/>
          </w:tcPr>
          <w:p w14:paraId="551C65EE"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¥0</w:t>
            </w:r>
          </w:p>
        </w:tc>
        <w:tc>
          <w:tcPr>
            <w:tcW w:w="1270" w:type="dxa"/>
          </w:tcPr>
          <w:p w14:paraId="3D7F30A8"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¥1.0M</w:t>
            </w:r>
          </w:p>
        </w:tc>
        <w:tc>
          <w:tcPr>
            <w:tcW w:w="747" w:type="dxa"/>
          </w:tcPr>
          <w:p w14:paraId="537A64A9"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¥11.5M</w:t>
            </w:r>
          </w:p>
        </w:tc>
        <w:tc>
          <w:tcPr>
            <w:tcW w:w="971" w:type="dxa"/>
          </w:tcPr>
          <w:p w14:paraId="19749A1D"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¥140.1M</w:t>
            </w:r>
          </w:p>
        </w:tc>
      </w:tr>
      <w:tr w:rsidR="00114486" w:rsidRPr="005D749F" w14:paraId="22B5F165" w14:textId="77777777">
        <w:tc>
          <w:tcPr>
            <w:tcW w:w="448" w:type="dxa"/>
          </w:tcPr>
          <w:p w14:paraId="70CCA4AE"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2029</w:t>
            </w:r>
          </w:p>
        </w:tc>
        <w:tc>
          <w:tcPr>
            <w:tcW w:w="597" w:type="dxa"/>
          </w:tcPr>
          <w:p w14:paraId="75D6A516"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3</w:t>
            </w:r>
          </w:p>
        </w:tc>
        <w:tc>
          <w:tcPr>
            <w:tcW w:w="1419" w:type="dxa"/>
          </w:tcPr>
          <w:p w14:paraId="46884330"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35</w:t>
            </w:r>
          </w:p>
        </w:tc>
        <w:tc>
          <w:tcPr>
            <w:tcW w:w="1195" w:type="dxa"/>
          </w:tcPr>
          <w:p w14:paraId="74866E90"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¥17.5M</w:t>
            </w:r>
          </w:p>
        </w:tc>
        <w:tc>
          <w:tcPr>
            <w:tcW w:w="1270" w:type="dxa"/>
          </w:tcPr>
          <w:p w14:paraId="644C7A41"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¥1.0M</w:t>
            </w:r>
          </w:p>
        </w:tc>
        <w:tc>
          <w:tcPr>
            <w:tcW w:w="1270" w:type="dxa"/>
          </w:tcPr>
          <w:p w14:paraId="64FAF7B0"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¥1.6M</w:t>
            </w:r>
          </w:p>
        </w:tc>
        <w:tc>
          <w:tcPr>
            <w:tcW w:w="747" w:type="dxa"/>
          </w:tcPr>
          <w:p w14:paraId="0AFD003E"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¥14.9M</w:t>
            </w:r>
          </w:p>
        </w:tc>
        <w:tc>
          <w:tcPr>
            <w:tcW w:w="971" w:type="dxa"/>
          </w:tcPr>
          <w:p w14:paraId="26FF142E"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¥125.2M</w:t>
            </w:r>
          </w:p>
        </w:tc>
      </w:tr>
      <w:tr w:rsidR="00114486" w:rsidRPr="005D749F" w14:paraId="58BC5CCD" w14:textId="77777777">
        <w:tc>
          <w:tcPr>
            <w:tcW w:w="448" w:type="dxa"/>
          </w:tcPr>
          <w:p w14:paraId="38FA6A83"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2030</w:t>
            </w:r>
          </w:p>
        </w:tc>
        <w:tc>
          <w:tcPr>
            <w:tcW w:w="597" w:type="dxa"/>
          </w:tcPr>
          <w:p w14:paraId="79D4ED9E"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4</w:t>
            </w:r>
          </w:p>
        </w:tc>
        <w:tc>
          <w:tcPr>
            <w:tcW w:w="1419" w:type="dxa"/>
          </w:tcPr>
          <w:p w14:paraId="78ACB1EB"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50</w:t>
            </w:r>
          </w:p>
        </w:tc>
        <w:tc>
          <w:tcPr>
            <w:tcW w:w="1195" w:type="dxa"/>
          </w:tcPr>
          <w:p w14:paraId="14327764"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¥25M</w:t>
            </w:r>
          </w:p>
        </w:tc>
        <w:tc>
          <w:tcPr>
            <w:tcW w:w="1270" w:type="dxa"/>
          </w:tcPr>
          <w:p w14:paraId="6F1AE3E8"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¥3.5M</w:t>
            </w:r>
          </w:p>
        </w:tc>
        <w:tc>
          <w:tcPr>
            <w:tcW w:w="1270" w:type="dxa"/>
          </w:tcPr>
          <w:p w14:paraId="75A63E67"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¥2.4M</w:t>
            </w:r>
          </w:p>
        </w:tc>
        <w:tc>
          <w:tcPr>
            <w:tcW w:w="747" w:type="dxa"/>
          </w:tcPr>
          <w:p w14:paraId="05B4F0AE"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¥19.1M</w:t>
            </w:r>
          </w:p>
        </w:tc>
        <w:tc>
          <w:tcPr>
            <w:tcW w:w="971" w:type="dxa"/>
          </w:tcPr>
          <w:p w14:paraId="0981EF0C"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¥106.1M</w:t>
            </w:r>
          </w:p>
        </w:tc>
      </w:tr>
      <w:tr w:rsidR="00114486" w:rsidRPr="005D749F" w14:paraId="4A251266" w14:textId="77777777">
        <w:tc>
          <w:tcPr>
            <w:tcW w:w="448" w:type="dxa"/>
          </w:tcPr>
          <w:p w14:paraId="4D40FC37"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2031</w:t>
            </w:r>
          </w:p>
        </w:tc>
        <w:tc>
          <w:tcPr>
            <w:tcW w:w="597" w:type="dxa"/>
          </w:tcPr>
          <w:p w14:paraId="5118985B"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5</w:t>
            </w:r>
          </w:p>
        </w:tc>
        <w:tc>
          <w:tcPr>
            <w:tcW w:w="1419" w:type="dxa"/>
          </w:tcPr>
          <w:p w14:paraId="3799B4C0"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50</w:t>
            </w:r>
          </w:p>
        </w:tc>
        <w:tc>
          <w:tcPr>
            <w:tcW w:w="1195" w:type="dxa"/>
          </w:tcPr>
          <w:p w14:paraId="1EB7ED7D"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¥25M</w:t>
            </w:r>
          </w:p>
        </w:tc>
        <w:tc>
          <w:tcPr>
            <w:tcW w:w="1270" w:type="dxa"/>
          </w:tcPr>
          <w:p w14:paraId="111E8FAE"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¥6.5M</w:t>
            </w:r>
          </w:p>
        </w:tc>
        <w:tc>
          <w:tcPr>
            <w:tcW w:w="1270" w:type="dxa"/>
          </w:tcPr>
          <w:p w14:paraId="5C7AD3AF"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¥2.4M</w:t>
            </w:r>
          </w:p>
        </w:tc>
        <w:tc>
          <w:tcPr>
            <w:tcW w:w="747" w:type="dxa"/>
          </w:tcPr>
          <w:p w14:paraId="6F17D9BB"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¥16.1M</w:t>
            </w:r>
          </w:p>
        </w:tc>
        <w:tc>
          <w:tcPr>
            <w:tcW w:w="971" w:type="dxa"/>
          </w:tcPr>
          <w:p w14:paraId="0108D020"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¥90.0M</w:t>
            </w:r>
          </w:p>
        </w:tc>
      </w:tr>
      <w:tr w:rsidR="00114486" w:rsidRPr="005D749F" w14:paraId="31F72EEA" w14:textId="77777777">
        <w:tc>
          <w:tcPr>
            <w:tcW w:w="448" w:type="dxa"/>
          </w:tcPr>
          <w:p w14:paraId="0B3FA46E"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2032</w:t>
            </w:r>
          </w:p>
        </w:tc>
        <w:tc>
          <w:tcPr>
            <w:tcW w:w="597" w:type="dxa"/>
          </w:tcPr>
          <w:p w14:paraId="2393D8F1"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6</w:t>
            </w:r>
          </w:p>
        </w:tc>
        <w:tc>
          <w:tcPr>
            <w:tcW w:w="1419" w:type="dxa"/>
          </w:tcPr>
          <w:p w14:paraId="79F66C3D"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50</w:t>
            </w:r>
          </w:p>
        </w:tc>
        <w:tc>
          <w:tcPr>
            <w:tcW w:w="1195" w:type="dxa"/>
          </w:tcPr>
          <w:p w14:paraId="7DA3666E"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¥25M</w:t>
            </w:r>
          </w:p>
        </w:tc>
        <w:tc>
          <w:tcPr>
            <w:tcW w:w="1270" w:type="dxa"/>
          </w:tcPr>
          <w:p w14:paraId="009D76FC"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¥9.0M</w:t>
            </w:r>
          </w:p>
        </w:tc>
        <w:tc>
          <w:tcPr>
            <w:tcW w:w="1270" w:type="dxa"/>
          </w:tcPr>
          <w:p w14:paraId="33EA601D"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¥2.4M</w:t>
            </w:r>
          </w:p>
        </w:tc>
        <w:tc>
          <w:tcPr>
            <w:tcW w:w="747" w:type="dxa"/>
          </w:tcPr>
          <w:p w14:paraId="417605B6"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¥13.6M</w:t>
            </w:r>
          </w:p>
        </w:tc>
        <w:tc>
          <w:tcPr>
            <w:tcW w:w="971" w:type="dxa"/>
          </w:tcPr>
          <w:p w14:paraId="67C5FFE7"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¥76.4M</w:t>
            </w:r>
          </w:p>
        </w:tc>
      </w:tr>
      <w:tr w:rsidR="00114486" w:rsidRPr="005D749F" w14:paraId="63757149" w14:textId="77777777">
        <w:tc>
          <w:tcPr>
            <w:tcW w:w="448" w:type="dxa"/>
          </w:tcPr>
          <w:p w14:paraId="72CF935B"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20</w:t>
            </w:r>
            <w:r w:rsidRPr="005D749F">
              <w:rPr>
                <w:rFonts w:ascii="Times New Roman" w:hAnsi="Times New Roman" w:cs="Times New Roman"/>
                <w:color w:val="000000" w:themeColor="text1"/>
              </w:rPr>
              <w:lastRenderedPageBreak/>
              <w:t>33</w:t>
            </w:r>
          </w:p>
        </w:tc>
        <w:tc>
          <w:tcPr>
            <w:tcW w:w="597" w:type="dxa"/>
          </w:tcPr>
          <w:p w14:paraId="20550DC9"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lastRenderedPageBreak/>
              <w:t>7</w:t>
            </w:r>
          </w:p>
        </w:tc>
        <w:tc>
          <w:tcPr>
            <w:tcW w:w="1419" w:type="dxa"/>
          </w:tcPr>
          <w:p w14:paraId="79FE97EE"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50</w:t>
            </w:r>
          </w:p>
        </w:tc>
        <w:tc>
          <w:tcPr>
            <w:tcW w:w="1195" w:type="dxa"/>
          </w:tcPr>
          <w:p w14:paraId="37178357"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¥25M</w:t>
            </w:r>
          </w:p>
        </w:tc>
        <w:tc>
          <w:tcPr>
            <w:tcW w:w="1270" w:type="dxa"/>
          </w:tcPr>
          <w:p w14:paraId="1C168071"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¥11.5M</w:t>
            </w:r>
          </w:p>
        </w:tc>
        <w:tc>
          <w:tcPr>
            <w:tcW w:w="1270" w:type="dxa"/>
          </w:tcPr>
          <w:p w14:paraId="264A2EBE"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¥2.4M</w:t>
            </w:r>
          </w:p>
        </w:tc>
        <w:tc>
          <w:tcPr>
            <w:tcW w:w="747" w:type="dxa"/>
          </w:tcPr>
          <w:p w14:paraId="06EFF1A3"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¥11.1</w:t>
            </w:r>
            <w:r w:rsidRPr="005D749F">
              <w:rPr>
                <w:rFonts w:ascii="Times New Roman" w:hAnsi="Times New Roman" w:cs="Times New Roman"/>
                <w:color w:val="000000" w:themeColor="text1"/>
              </w:rPr>
              <w:lastRenderedPageBreak/>
              <w:t>M</w:t>
            </w:r>
          </w:p>
        </w:tc>
        <w:tc>
          <w:tcPr>
            <w:tcW w:w="971" w:type="dxa"/>
          </w:tcPr>
          <w:p w14:paraId="3E15C00C"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lastRenderedPageBreak/>
              <w:t>¥65.3M</w:t>
            </w:r>
          </w:p>
        </w:tc>
      </w:tr>
    </w:tbl>
    <w:p w14:paraId="2B87F10F"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projection demonstrates that the fund balance remains positive throughout the seven-year period under the moderate assumption set. The annual net draw on the fund declines from ¥19.1M in 2030 to ¥11.1M in 2033 as recycled capital accelerates. By 2033, recycled capital and Deemed Donation contributions together offset approximately 55% of annual grant deployment, indicating that the program is approaching a structurally self-reinforcing state. The ¥65.3M balance remaining at year seven provides continued operational runway without requiring a second fundraising round.</w:t>
      </w:r>
    </w:p>
    <w:p w14:paraId="1937A9BD" w14:textId="77777777" w:rsidR="00114486" w:rsidRPr="005D749F" w:rsidRDefault="00000000">
      <w:pPr>
        <w:pStyle w:val="Heading3"/>
        <w:rPr>
          <w:rFonts w:ascii="Times New Roman" w:hAnsi="Times New Roman" w:cs="Times New Roman"/>
          <w:color w:val="000000" w:themeColor="text1"/>
          <w:sz w:val="24"/>
          <w:szCs w:val="24"/>
        </w:rPr>
      </w:pPr>
      <w:bookmarkStart w:id="24" w:name="sensitivity-analysis"/>
      <w:bookmarkEnd w:id="23"/>
      <w:r w:rsidRPr="005D749F">
        <w:rPr>
          <w:rFonts w:ascii="Times New Roman" w:hAnsi="Times New Roman" w:cs="Times New Roman"/>
          <w:color w:val="000000" w:themeColor="text1"/>
          <w:sz w:val="24"/>
          <w:szCs w:val="24"/>
        </w:rPr>
        <w:t>8.3 Sensitivity Analysis</w:t>
      </w:r>
    </w:p>
    <w:p w14:paraId="0777709C"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The program’s financial sustainability is most sensitive to the capital return rate assumption, as this is the variable with the least empirical grounding at the pre-pilot stage. The table below presents the seven-year fund balance under three return rate scenarios, holding all other assumptions constant.</w:t>
      </w:r>
    </w:p>
    <w:tbl>
      <w:tblPr>
        <w:tblStyle w:val="Table"/>
        <w:tblW w:w="0" w:type="auto"/>
        <w:tblLook w:val="0020" w:firstRow="1" w:lastRow="0" w:firstColumn="0" w:lastColumn="0" w:noHBand="0" w:noVBand="0"/>
      </w:tblPr>
      <w:tblGrid>
        <w:gridCol w:w="2255"/>
        <w:gridCol w:w="1796"/>
        <w:gridCol w:w="1370"/>
        <w:gridCol w:w="2249"/>
      </w:tblGrid>
      <w:tr w:rsidR="00114486" w:rsidRPr="005D749F" w14:paraId="538DCC72" w14:textId="77777777" w:rsidTr="00114486">
        <w:trPr>
          <w:cnfStyle w:val="100000000000" w:firstRow="1" w:lastRow="0" w:firstColumn="0" w:lastColumn="0" w:oddVBand="0" w:evenVBand="0" w:oddHBand="0" w:evenHBand="0" w:firstRowFirstColumn="0" w:firstRowLastColumn="0" w:lastRowFirstColumn="0" w:lastRowLastColumn="0"/>
          <w:tblHeader/>
        </w:trPr>
        <w:tc>
          <w:tcPr>
            <w:tcW w:w="0" w:type="auto"/>
          </w:tcPr>
          <w:p w14:paraId="0C27C5F3"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Scenario</w:t>
            </w:r>
          </w:p>
        </w:tc>
        <w:tc>
          <w:tcPr>
            <w:tcW w:w="0" w:type="auto"/>
          </w:tcPr>
          <w:p w14:paraId="6CE1B45F"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Graduation Rate</w:t>
            </w:r>
          </w:p>
        </w:tc>
        <w:tc>
          <w:tcPr>
            <w:tcW w:w="0" w:type="auto"/>
          </w:tcPr>
          <w:p w14:paraId="29D18A16"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Return Rate</w:t>
            </w:r>
          </w:p>
        </w:tc>
        <w:tc>
          <w:tcPr>
            <w:tcW w:w="0" w:type="auto"/>
          </w:tcPr>
          <w:p w14:paraId="66AB4548"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Year 7 Fund Balance</w:t>
            </w:r>
          </w:p>
        </w:tc>
      </w:tr>
      <w:tr w:rsidR="00114486" w:rsidRPr="005D749F" w14:paraId="15440F18" w14:textId="77777777">
        <w:tc>
          <w:tcPr>
            <w:tcW w:w="0" w:type="auto"/>
          </w:tcPr>
          <w:p w14:paraId="01E923D5"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Conservative</w:t>
            </w:r>
          </w:p>
        </w:tc>
        <w:tc>
          <w:tcPr>
            <w:tcW w:w="0" w:type="auto"/>
          </w:tcPr>
          <w:p w14:paraId="681063DD"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30%</w:t>
            </w:r>
          </w:p>
        </w:tc>
        <w:tc>
          <w:tcPr>
            <w:tcW w:w="0" w:type="auto"/>
          </w:tcPr>
          <w:p w14:paraId="57D40C0C"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60%</w:t>
            </w:r>
          </w:p>
        </w:tc>
        <w:tc>
          <w:tcPr>
            <w:tcW w:w="0" w:type="auto"/>
          </w:tcPr>
          <w:p w14:paraId="7CDF1560"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¥98.4M</w:t>
            </w:r>
          </w:p>
        </w:tc>
      </w:tr>
      <w:tr w:rsidR="00114486" w:rsidRPr="005D749F" w14:paraId="6CA2E244" w14:textId="77777777">
        <w:tc>
          <w:tcPr>
            <w:tcW w:w="0" w:type="auto"/>
          </w:tcPr>
          <w:p w14:paraId="6F03D1ED"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Moderate (base case)</w:t>
            </w:r>
          </w:p>
        </w:tc>
        <w:tc>
          <w:tcPr>
            <w:tcW w:w="0" w:type="auto"/>
          </w:tcPr>
          <w:p w14:paraId="00995282"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45%</w:t>
            </w:r>
          </w:p>
        </w:tc>
        <w:tc>
          <w:tcPr>
            <w:tcW w:w="0" w:type="auto"/>
          </w:tcPr>
          <w:p w14:paraId="14FEFDCD"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75%</w:t>
            </w:r>
          </w:p>
        </w:tc>
        <w:tc>
          <w:tcPr>
            <w:tcW w:w="0" w:type="auto"/>
          </w:tcPr>
          <w:p w14:paraId="155B5A46"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¥65.3M</w:t>
            </w:r>
          </w:p>
        </w:tc>
      </w:tr>
      <w:tr w:rsidR="00114486" w:rsidRPr="005D749F" w14:paraId="0ABB5530" w14:textId="77777777">
        <w:tc>
          <w:tcPr>
            <w:tcW w:w="0" w:type="auto"/>
          </w:tcPr>
          <w:p w14:paraId="3FCF410D"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Optimistic</w:t>
            </w:r>
          </w:p>
        </w:tc>
        <w:tc>
          <w:tcPr>
            <w:tcW w:w="0" w:type="auto"/>
          </w:tcPr>
          <w:p w14:paraId="0CFF7900"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60%</w:t>
            </w:r>
          </w:p>
        </w:tc>
        <w:tc>
          <w:tcPr>
            <w:tcW w:w="0" w:type="auto"/>
          </w:tcPr>
          <w:p w14:paraId="3FD1B058"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85%</w:t>
            </w:r>
          </w:p>
        </w:tc>
        <w:tc>
          <w:tcPr>
            <w:tcW w:w="0" w:type="auto"/>
          </w:tcPr>
          <w:p w14:paraId="6A66F469"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¥41.2M</w:t>
            </w:r>
          </w:p>
        </w:tc>
      </w:tr>
    </w:tbl>
    <w:p w14:paraId="4FBFBB46"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A counterintuitive result appears in the optimistic scenario: the fund balance is lower because more capital is being deployed to more students who graduate earlier, drawing on the reserve more aggressively. This reflects the fact that the program’s financial model is not designed to accumulate capital but to deploy it. The conservative scenario, in which fewer students graduate and fewer return capital, nonetheless maintains a fund balance of ¥98.4M at year seven — sufficient to continue operations for multiple additional cohorts without additional fundraising. Under no modeled scenario does the program approach insolvency within the seven-year projection horizon.</w:t>
      </w:r>
    </w:p>
    <w:p w14:paraId="0980460C" w14:textId="790406FE" w:rsidR="00114486" w:rsidRDefault="00114486">
      <w:pPr>
        <w:rPr>
          <w:rFonts w:ascii="Times New Roman" w:hAnsi="Times New Roman" w:cs="Times New Roman"/>
          <w:color w:val="000000" w:themeColor="text1"/>
        </w:rPr>
      </w:pPr>
    </w:p>
    <w:p w14:paraId="53C17113" w14:textId="77777777" w:rsidR="005D749F" w:rsidRDefault="005D749F">
      <w:pPr>
        <w:rPr>
          <w:rFonts w:ascii="Times New Roman" w:hAnsi="Times New Roman" w:cs="Times New Roman"/>
          <w:color w:val="000000" w:themeColor="text1"/>
        </w:rPr>
      </w:pPr>
    </w:p>
    <w:p w14:paraId="681A62B5" w14:textId="77777777" w:rsidR="005D749F" w:rsidRDefault="005D749F">
      <w:pPr>
        <w:rPr>
          <w:rFonts w:ascii="Times New Roman" w:hAnsi="Times New Roman" w:cs="Times New Roman"/>
          <w:color w:val="000000" w:themeColor="text1"/>
        </w:rPr>
      </w:pPr>
    </w:p>
    <w:p w14:paraId="504A6294" w14:textId="77777777" w:rsidR="005D749F" w:rsidRDefault="005D749F">
      <w:pPr>
        <w:rPr>
          <w:rFonts w:ascii="Times New Roman" w:hAnsi="Times New Roman" w:cs="Times New Roman"/>
          <w:color w:val="000000" w:themeColor="text1"/>
        </w:rPr>
      </w:pPr>
    </w:p>
    <w:p w14:paraId="7F56F3E7" w14:textId="77777777" w:rsidR="005D749F" w:rsidRDefault="005D749F">
      <w:pPr>
        <w:rPr>
          <w:rFonts w:ascii="Times New Roman" w:hAnsi="Times New Roman" w:cs="Times New Roman"/>
          <w:color w:val="000000" w:themeColor="text1"/>
        </w:rPr>
      </w:pPr>
    </w:p>
    <w:p w14:paraId="62EA220A" w14:textId="77777777" w:rsidR="005D749F" w:rsidRDefault="005D749F">
      <w:pPr>
        <w:rPr>
          <w:rFonts w:ascii="Times New Roman" w:hAnsi="Times New Roman" w:cs="Times New Roman"/>
          <w:color w:val="000000" w:themeColor="text1"/>
        </w:rPr>
      </w:pPr>
    </w:p>
    <w:p w14:paraId="51D28A79" w14:textId="77777777" w:rsidR="005D749F" w:rsidRPr="005D749F" w:rsidRDefault="005D749F">
      <w:pPr>
        <w:rPr>
          <w:rFonts w:ascii="Times New Roman" w:hAnsi="Times New Roman" w:cs="Times New Roman"/>
          <w:color w:val="000000" w:themeColor="text1"/>
        </w:rPr>
      </w:pPr>
    </w:p>
    <w:p w14:paraId="190BF721" w14:textId="77777777" w:rsidR="00114486" w:rsidRPr="005D749F" w:rsidRDefault="00000000">
      <w:pPr>
        <w:pStyle w:val="Heading2"/>
        <w:rPr>
          <w:rFonts w:ascii="Times New Roman" w:hAnsi="Times New Roman" w:cs="Times New Roman"/>
          <w:color w:val="000000" w:themeColor="text1"/>
          <w:sz w:val="24"/>
          <w:szCs w:val="24"/>
        </w:rPr>
      </w:pPr>
      <w:bookmarkStart w:id="25" w:name="organizational-structure"/>
      <w:bookmarkEnd w:id="21"/>
      <w:bookmarkEnd w:id="24"/>
      <w:r w:rsidRPr="005D749F">
        <w:rPr>
          <w:rFonts w:ascii="Times New Roman" w:hAnsi="Times New Roman" w:cs="Times New Roman"/>
          <w:color w:val="000000" w:themeColor="text1"/>
          <w:sz w:val="24"/>
          <w:szCs w:val="24"/>
        </w:rPr>
        <w:lastRenderedPageBreak/>
        <w:t>9. Organizational Structure</w:t>
      </w:r>
    </w:p>
    <w:p w14:paraId="7B146C60"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Mujin operates as a Religious Corporation under the Religious Corporations Act, functioning within the broader organizational umbrella of Frontier Commons, a parachurch organization whose staff members operate under an independent support-raising model consistent with standard missionary deployment practice. Under this model, program leadership — including the Founder and the Director of Programs — raise their own operational support from individual donors and churches rather than drawing salaries from the Mujin program fund. This structure eliminates staff compensation as a cost category for the program fund and is a primary reason the capital deployment model can maintain zero overhead dependency on donor capital.</w:t>
      </w:r>
    </w:p>
    <w:p w14:paraId="598E9257"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program is led by Jonathan Ahn as Founder, responsible for overall program strategy, investor and donor relations, legal compliance oversight, and banking partnership development. Andrew Feng serves as Director of Programs, responsible for ISM network relationship management, student intake and mentorship coordination, town hall facilitation, and pastoral partner engagement. The mentor network consists of volunteer advisors drawn from the ISM community, the Frontier Commons network, and partner church congregations. Mentors participate in bi-weekly student check-ins and contribute to the Trust Score assessment process without compensation from the program fund.</w:t>
      </w:r>
    </w:p>
    <w:p w14:paraId="4D90E9FF" w14:textId="77777777" w:rsidR="00114486"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program’s administrative and legal functions — including Religious Corporation filings, annual accounting, and FSA legal compliance — are contracted to external professional service providers at costs covered by co-working revenue under the 80% operational allocation described in Section 5.3.</w:t>
      </w:r>
    </w:p>
    <w:p w14:paraId="6BD21988" w14:textId="77777777" w:rsidR="005D749F" w:rsidRDefault="005D749F">
      <w:pPr>
        <w:pStyle w:val="BodyText"/>
        <w:rPr>
          <w:rFonts w:ascii="Times New Roman" w:hAnsi="Times New Roman" w:cs="Times New Roman"/>
          <w:color w:val="000000" w:themeColor="text1"/>
        </w:rPr>
      </w:pPr>
    </w:p>
    <w:p w14:paraId="30A4F0CE" w14:textId="77777777" w:rsidR="005D749F" w:rsidRDefault="005D749F">
      <w:pPr>
        <w:pStyle w:val="BodyText"/>
        <w:rPr>
          <w:rFonts w:ascii="Times New Roman" w:hAnsi="Times New Roman" w:cs="Times New Roman"/>
          <w:color w:val="000000" w:themeColor="text1"/>
        </w:rPr>
      </w:pPr>
    </w:p>
    <w:p w14:paraId="7AC76C05" w14:textId="77777777" w:rsidR="005D749F" w:rsidRDefault="005D749F">
      <w:pPr>
        <w:pStyle w:val="BodyText"/>
        <w:rPr>
          <w:rFonts w:ascii="Times New Roman" w:hAnsi="Times New Roman" w:cs="Times New Roman"/>
          <w:color w:val="000000" w:themeColor="text1"/>
        </w:rPr>
      </w:pPr>
    </w:p>
    <w:p w14:paraId="2FAB1441" w14:textId="77777777" w:rsidR="005D749F" w:rsidRDefault="005D749F">
      <w:pPr>
        <w:pStyle w:val="BodyText"/>
        <w:rPr>
          <w:rFonts w:ascii="Times New Roman" w:hAnsi="Times New Roman" w:cs="Times New Roman"/>
          <w:color w:val="000000" w:themeColor="text1"/>
        </w:rPr>
      </w:pPr>
    </w:p>
    <w:p w14:paraId="7095082F" w14:textId="77777777" w:rsidR="005D749F" w:rsidRDefault="005D749F">
      <w:pPr>
        <w:pStyle w:val="BodyText"/>
        <w:rPr>
          <w:rFonts w:ascii="Times New Roman" w:hAnsi="Times New Roman" w:cs="Times New Roman"/>
          <w:color w:val="000000" w:themeColor="text1"/>
        </w:rPr>
      </w:pPr>
    </w:p>
    <w:p w14:paraId="4F1D9A44" w14:textId="77777777" w:rsidR="005D749F" w:rsidRDefault="005D749F">
      <w:pPr>
        <w:pStyle w:val="BodyText"/>
        <w:rPr>
          <w:rFonts w:ascii="Times New Roman" w:hAnsi="Times New Roman" w:cs="Times New Roman"/>
          <w:color w:val="000000" w:themeColor="text1"/>
        </w:rPr>
      </w:pPr>
    </w:p>
    <w:p w14:paraId="3DDAC76F" w14:textId="77777777" w:rsidR="005D749F" w:rsidRDefault="005D749F">
      <w:pPr>
        <w:pStyle w:val="BodyText"/>
        <w:rPr>
          <w:rFonts w:ascii="Times New Roman" w:hAnsi="Times New Roman" w:cs="Times New Roman"/>
          <w:color w:val="000000" w:themeColor="text1"/>
        </w:rPr>
      </w:pPr>
    </w:p>
    <w:p w14:paraId="644CC325" w14:textId="77777777" w:rsidR="005D749F" w:rsidRDefault="005D749F">
      <w:pPr>
        <w:pStyle w:val="BodyText"/>
        <w:rPr>
          <w:rFonts w:ascii="Times New Roman" w:hAnsi="Times New Roman" w:cs="Times New Roman"/>
          <w:color w:val="000000" w:themeColor="text1"/>
        </w:rPr>
      </w:pPr>
    </w:p>
    <w:p w14:paraId="151486ED" w14:textId="77777777" w:rsidR="005D749F" w:rsidRDefault="005D749F">
      <w:pPr>
        <w:pStyle w:val="BodyText"/>
        <w:rPr>
          <w:rFonts w:ascii="Times New Roman" w:hAnsi="Times New Roman" w:cs="Times New Roman"/>
          <w:color w:val="000000" w:themeColor="text1"/>
        </w:rPr>
      </w:pPr>
    </w:p>
    <w:p w14:paraId="533ABA4C" w14:textId="77777777" w:rsidR="005D749F" w:rsidRDefault="005D749F">
      <w:pPr>
        <w:pStyle w:val="BodyText"/>
        <w:rPr>
          <w:rFonts w:ascii="Times New Roman" w:hAnsi="Times New Roman" w:cs="Times New Roman"/>
          <w:color w:val="000000" w:themeColor="text1"/>
        </w:rPr>
      </w:pPr>
    </w:p>
    <w:p w14:paraId="05BBC836" w14:textId="77777777" w:rsidR="005D749F" w:rsidRPr="005D749F" w:rsidRDefault="005D749F">
      <w:pPr>
        <w:pStyle w:val="BodyText"/>
        <w:rPr>
          <w:rFonts w:ascii="Times New Roman" w:hAnsi="Times New Roman" w:cs="Times New Roman"/>
          <w:color w:val="000000" w:themeColor="text1"/>
        </w:rPr>
      </w:pPr>
    </w:p>
    <w:p w14:paraId="4B6DC609" w14:textId="2A8D3410" w:rsidR="00114486" w:rsidRPr="005D749F" w:rsidRDefault="00114486">
      <w:pPr>
        <w:rPr>
          <w:rFonts w:ascii="Times New Roman" w:hAnsi="Times New Roman" w:cs="Times New Roman"/>
          <w:color w:val="000000" w:themeColor="text1"/>
        </w:rPr>
      </w:pPr>
    </w:p>
    <w:p w14:paraId="4D531E69" w14:textId="77777777" w:rsidR="00114486" w:rsidRPr="005D749F" w:rsidRDefault="00000000">
      <w:pPr>
        <w:pStyle w:val="Heading2"/>
        <w:rPr>
          <w:rFonts w:ascii="Times New Roman" w:hAnsi="Times New Roman" w:cs="Times New Roman"/>
          <w:color w:val="000000" w:themeColor="text1"/>
          <w:sz w:val="24"/>
          <w:szCs w:val="24"/>
        </w:rPr>
      </w:pPr>
      <w:bookmarkStart w:id="26" w:name="go-to-market-strategy"/>
      <w:bookmarkEnd w:id="25"/>
      <w:r w:rsidRPr="005D749F">
        <w:rPr>
          <w:rFonts w:ascii="Times New Roman" w:hAnsi="Times New Roman" w:cs="Times New Roman"/>
          <w:color w:val="000000" w:themeColor="text1"/>
          <w:sz w:val="24"/>
          <w:szCs w:val="24"/>
        </w:rPr>
        <w:lastRenderedPageBreak/>
        <w:t>10. Go-to-Market Strategy</w:t>
      </w:r>
    </w:p>
    <w:p w14:paraId="08C28581"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The program’s go-to-market strategy is sequenced across three phases, each building on the relationship infrastructure established in the preceding phase. The sequence is designed to ensure that trust is established before scale is attempted — a principle that reflects both the program’s operational logic and the cultural norms of the ISM network through which it operates.</w:t>
      </w:r>
    </w:p>
    <w:p w14:paraId="298853CC"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first phase, currently underway as of March 2026, focuses on pastoral engagement. The program manifesto is being shared with pastoral contacts known to Andrew Feng through the ISM network, beginning with individuals met at the most recent ISM summit. The objective of this phase is not to recruit students but to establish credibility with the gatekeepers who will introduce students. The cover communication is framed as an invitation to provide honest feedback rather than a solicitation, consistent with relationship-first engagement norms in the Japanese church context. Success is measured by the quality of pastoral response — specifically, whether pastoral contacts share the material with others and initiate conversations about partnership.</w:t>
      </w:r>
    </w:p>
    <w:p w14:paraId="6E0379D8"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second phase, targeted for Q3 2026, initiates donor engagement in parallel with continued pastoral relationship development. The donor audience is primarily the high-capacity donor network associated with IFI and the broader ISM ministry community, as identified through Andrew Feng’s intelligence on the network’s fundraising history. The donor projection document and this report serve as the primary materials for this phase. The fundraising target of ¥158,700,000 is to be reached before the Q1 2027 bank MOU signing and Q2 2027 pilot launch.</w:t>
      </w:r>
    </w:p>
    <w:p w14:paraId="16665147"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third phase, beginning with the pilot launch in Q2 2027, initiates student enrollment through pastoral introductions. Year one targets 15 students — a volume achievable through two to three active pastoral partnerships. Student selection is not conducted through an open application process. It proceeds through pastoral recommendation, program intake assessment, and Pledge of Honor signing.</w:t>
      </w:r>
    </w:p>
    <w:p w14:paraId="6E48C35E" w14:textId="061311F9" w:rsidR="00114486" w:rsidRDefault="00114486">
      <w:pPr>
        <w:rPr>
          <w:rFonts w:ascii="Times New Roman" w:hAnsi="Times New Roman" w:cs="Times New Roman"/>
          <w:color w:val="000000" w:themeColor="text1"/>
        </w:rPr>
      </w:pPr>
    </w:p>
    <w:p w14:paraId="655654AE" w14:textId="77777777" w:rsidR="005D749F" w:rsidRDefault="005D749F">
      <w:pPr>
        <w:rPr>
          <w:rFonts w:ascii="Times New Roman" w:hAnsi="Times New Roman" w:cs="Times New Roman"/>
          <w:color w:val="000000" w:themeColor="text1"/>
        </w:rPr>
      </w:pPr>
    </w:p>
    <w:p w14:paraId="2143B071" w14:textId="77777777" w:rsidR="005D749F" w:rsidRDefault="005D749F">
      <w:pPr>
        <w:rPr>
          <w:rFonts w:ascii="Times New Roman" w:hAnsi="Times New Roman" w:cs="Times New Roman"/>
          <w:color w:val="000000" w:themeColor="text1"/>
        </w:rPr>
      </w:pPr>
    </w:p>
    <w:p w14:paraId="46048675" w14:textId="77777777" w:rsidR="005D749F" w:rsidRDefault="005D749F">
      <w:pPr>
        <w:rPr>
          <w:rFonts w:ascii="Times New Roman" w:hAnsi="Times New Roman" w:cs="Times New Roman"/>
          <w:color w:val="000000" w:themeColor="text1"/>
        </w:rPr>
      </w:pPr>
    </w:p>
    <w:p w14:paraId="10E51366" w14:textId="77777777" w:rsidR="005D749F" w:rsidRDefault="005D749F">
      <w:pPr>
        <w:rPr>
          <w:rFonts w:ascii="Times New Roman" w:hAnsi="Times New Roman" w:cs="Times New Roman"/>
          <w:color w:val="000000" w:themeColor="text1"/>
        </w:rPr>
      </w:pPr>
    </w:p>
    <w:p w14:paraId="3C7F7463" w14:textId="77777777" w:rsidR="005D749F" w:rsidRDefault="005D749F">
      <w:pPr>
        <w:rPr>
          <w:rFonts w:ascii="Times New Roman" w:hAnsi="Times New Roman" w:cs="Times New Roman"/>
          <w:color w:val="000000" w:themeColor="text1"/>
        </w:rPr>
      </w:pPr>
    </w:p>
    <w:p w14:paraId="464039B2" w14:textId="77777777" w:rsidR="005D749F" w:rsidRDefault="005D749F">
      <w:pPr>
        <w:rPr>
          <w:rFonts w:ascii="Times New Roman" w:hAnsi="Times New Roman" w:cs="Times New Roman"/>
          <w:color w:val="000000" w:themeColor="text1"/>
        </w:rPr>
      </w:pPr>
    </w:p>
    <w:p w14:paraId="76B61A5E" w14:textId="77777777" w:rsidR="005D749F" w:rsidRDefault="005D749F">
      <w:pPr>
        <w:rPr>
          <w:rFonts w:ascii="Times New Roman" w:hAnsi="Times New Roman" w:cs="Times New Roman"/>
          <w:color w:val="000000" w:themeColor="text1"/>
        </w:rPr>
      </w:pPr>
    </w:p>
    <w:p w14:paraId="6C60A428" w14:textId="77777777" w:rsidR="005D749F" w:rsidRPr="005D749F" w:rsidRDefault="005D749F">
      <w:pPr>
        <w:rPr>
          <w:rFonts w:ascii="Times New Roman" w:hAnsi="Times New Roman" w:cs="Times New Roman"/>
          <w:color w:val="000000" w:themeColor="text1"/>
        </w:rPr>
      </w:pPr>
    </w:p>
    <w:p w14:paraId="787BDE49" w14:textId="77777777" w:rsidR="00114486" w:rsidRPr="005D749F" w:rsidRDefault="00000000">
      <w:pPr>
        <w:pStyle w:val="Heading2"/>
        <w:rPr>
          <w:rFonts w:ascii="Times New Roman" w:hAnsi="Times New Roman" w:cs="Times New Roman"/>
          <w:color w:val="000000" w:themeColor="text1"/>
          <w:sz w:val="24"/>
          <w:szCs w:val="24"/>
        </w:rPr>
      </w:pPr>
      <w:bookmarkStart w:id="27" w:name="risk-assessment"/>
      <w:bookmarkEnd w:id="26"/>
      <w:r w:rsidRPr="005D749F">
        <w:rPr>
          <w:rFonts w:ascii="Times New Roman" w:hAnsi="Times New Roman" w:cs="Times New Roman"/>
          <w:color w:val="000000" w:themeColor="text1"/>
          <w:sz w:val="24"/>
          <w:szCs w:val="24"/>
        </w:rPr>
        <w:lastRenderedPageBreak/>
        <w:t>11. Risk Assessment</w:t>
      </w:r>
    </w:p>
    <w:p w14:paraId="430BA15D"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The program faces four categories of material risk, each with defined mitigation strategies and responsible parties.</w:t>
      </w:r>
    </w:p>
    <w:p w14:paraId="303A3697"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first category is regulatory risk arising from potential FSA reclassification of the Recyclable Grant as a de facto loan. The legal vulnerability of the program’s structure lies in the interpretative margin between a morally enforced pledge and a legally enforceable repayment obligation. If the FSA determines that the social enforcement mechanisms constitute coercion sufficient to create a de facto legal obligation, the transaction could be reclassified under the Money Lending Business Act, triggering compliance requirements the program cannot meet. Mitigation proceeds through three mechanisms: a formal legal opinion secured prior to launch; strict operational adherence to the non-binding character of the Pledge of Honor, including the complete absence of debt collection, credit bureau reporting, or legal remedies for non-return; and a formal No-Action Letter sought from the FSA FinTech Support Desk prior to scaling beyond the pilot cohort.</w:t>
      </w:r>
    </w:p>
    <w:p w14:paraId="444D1579"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second category is institutional dependency risk arising from the program’s reliance on banking partner MOUs for its graduation pathway. Without a confirmed MOU, the Trust Score produces no external utility for graduates. If partner banks decline to recognize social collateral as a basis for account opening or credit initiation, the program’s core value proposition — converting social accountability into financial access — is not delivered. Mitigation proceeds through a dual-track approach targeting both the JFC, whose government mandate includes foreign entrepreneur support, and regional banks in the Kiraboshi and Tokyo Star networks that face demographic pressure and are seeking new client acquisition channels. Entry is pursued through the FinCity Tokyo initiative and through ISM network relationships rather than cold institutional outreach.</w:t>
      </w:r>
    </w:p>
    <w:p w14:paraId="5C3D9BE5"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third category is student pipeline risk arising from the program’s relationship-gated distribution model. The year-one cohort of 15 students depends on pastoral introductions that have not yet been formalized as of March 2026. If ISM network engagement does not generate sufficient pastoral partnerships, cohort enrollment will fall short of target. Mitigation proceeds through the current pastoral outreach phase and through Andrew Feng’s existing relationships within the network. The program’s financial model accommodates cohort sizes well below 15 — even a cohort of five students deploys only ¥2.5M against a ¥158.7M fund — reducing the financial consequence of slower-than-anticipated pipeline development.</w:t>
      </w:r>
    </w:p>
    <w:p w14:paraId="42929155"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fourth category is church partner risk arising from the potential reluctance of conservative church leadership to engage with a program that introduces secular commercial activity into church facilities. Cultural sensitivity within Japanese church contexts regarding commercial use of sacred spaces is well-documented, and pastoral conservatism may slow adoption of the Mujin Commons model. Mitigation proceeds through the relationship-first engagement approach, which ensures that conversations are well-established before partnership asks are made, and through Andrew Feng’s existing credibility within the ISM community.</w:t>
      </w:r>
    </w:p>
    <w:p w14:paraId="0BDE4E5C" w14:textId="24A52DDD" w:rsidR="00114486" w:rsidRPr="005D749F" w:rsidRDefault="00114486">
      <w:pPr>
        <w:rPr>
          <w:rFonts w:ascii="Times New Roman" w:hAnsi="Times New Roman" w:cs="Times New Roman"/>
          <w:color w:val="000000" w:themeColor="text1"/>
        </w:rPr>
      </w:pPr>
    </w:p>
    <w:p w14:paraId="6A70E926" w14:textId="77777777" w:rsidR="00114486" w:rsidRPr="005D749F" w:rsidRDefault="00000000">
      <w:pPr>
        <w:pStyle w:val="Heading2"/>
        <w:rPr>
          <w:rFonts w:ascii="Times New Roman" w:hAnsi="Times New Roman" w:cs="Times New Roman"/>
          <w:color w:val="000000" w:themeColor="text1"/>
          <w:sz w:val="24"/>
          <w:szCs w:val="24"/>
        </w:rPr>
      </w:pPr>
      <w:bookmarkStart w:id="28" w:name="roadmap"/>
      <w:bookmarkEnd w:id="27"/>
      <w:r w:rsidRPr="005D749F">
        <w:rPr>
          <w:rFonts w:ascii="Times New Roman" w:hAnsi="Times New Roman" w:cs="Times New Roman"/>
          <w:color w:val="000000" w:themeColor="text1"/>
          <w:sz w:val="24"/>
          <w:szCs w:val="24"/>
        </w:rPr>
        <w:lastRenderedPageBreak/>
        <w:t>12. Roadmap</w:t>
      </w:r>
    </w:p>
    <w:p w14:paraId="08AD4CD2"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The program roadmap spans from Q2 2026 to Q2 2030, covering the legal preparation, fundraising, institutional partnership, and operational phases necessary to reach full cohort capacity.</w:t>
      </w:r>
    </w:p>
    <w:tbl>
      <w:tblPr>
        <w:tblStyle w:val="Table"/>
        <w:tblW w:w="5000" w:type="pct"/>
        <w:tblLayout w:type="fixed"/>
        <w:tblLook w:val="0020" w:firstRow="1" w:lastRow="0" w:firstColumn="0" w:lastColumn="0" w:noHBand="0" w:noVBand="0"/>
      </w:tblPr>
      <w:tblGrid>
        <w:gridCol w:w="4309"/>
        <w:gridCol w:w="5267"/>
      </w:tblGrid>
      <w:tr w:rsidR="00114486" w:rsidRPr="005D749F" w14:paraId="7BA4E322" w14:textId="77777777" w:rsidTr="00114486">
        <w:trPr>
          <w:cnfStyle w:val="100000000000" w:firstRow="1" w:lastRow="0" w:firstColumn="0" w:lastColumn="0" w:oddVBand="0" w:evenVBand="0" w:oddHBand="0" w:evenHBand="0" w:firstRowFirstColumn="0" w:firstRowLastColumn="0" w:lastRowFirstColumn="0" w:lastRowLastColumn="0"/>
          <w:tblHeader/>
        </w:trPr>
        <w:tc>
          <w:tcPr>
            <w:tcW w:w="3564" w:type="dxa"/>
          </w:tcPr>
          <w:p w14:paraId="7B68CAFC"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Quarter</w:t>
            </w:r>
          </w:p>
        </w:tc>
        <w:tc>
          <w:tcPr>
            <w:tcW w:w="4356" w:type="dxa"/>
          </w:tcPr>
          <w:p w14:paraId="7E40164F"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Milestone</w:t>
            </w:r>
          </w:p>
        </w:tc>
      </w:tr>
      <w:tr w:rsidR="00114486" w:rsidRPr="005D749F" w14:paraId="360BAC7A" w14:textId="77777777">
        <w:tc>
          <w:tcPr>
            <w:tcW w:w="3564" w:type="dxa"/>
          </w:tcPr>
          <w:p w14:paraId="7FAA9B17"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Q2 2026</w:t>
            </w:r>
          </w:p>
        </w:tc>
        <w:tc>
          <w:tcPr>
            <w:tcW w:w="4356" w:type="dxa"/>
          </w:tcPr>
          <w:p w14:paraId="4F0CB86A"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Legal opinion on Recyclable Grant classification secured. Informal outreach to JFC and regional banking contacts initiated.</w:t>
            </w:r>
          </w:p>
        </w:tc>
      </w:tr>
      <w:tr w:rsidR="00114486" w:rsidRPr="005D749F" w14:paraId="07A48AB5" w14:textId="77777777">
        <w:tc>
          <w:tcPr>
            <w:tcW w:w="3564" w:type="dxa"/>
          </w:tcPr>
          <w:p w14:paraId="78E4825C"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Q3 2026</w:t>
            </w:r>
          </w:p>
        </w:tc>
        <w:tc>
          <w:tcPr>
            <w:tcW w:w="4356" w:type="dxa"/>
          </w:tcPr>
          <w:p w14:paraId="7169EC8B"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Fundraising target of ¥158,700,000 reached. Church facility partner secured and Church Usage Agreement executed.</w:t>
            </w:r>
          </w:p>
        </w:tc>
      </w:tr>
      <w:tr w:rsidR="00114486" w:rsidRPr="005D749F" w14:paraId="1B6640C5" w14:textId="77777777">
        <w:tc>
          <w:tcPr>
            <w:tcW w:w="3564" w:type="dxa"/>
          </w:tcPr>
          <w:p w14:paraId="4E69FF1F"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Q1 2027</w:t>
            </w:r>
          </w:p>
        </w:tc>
        <w:tc>
          <w:tcPr>
            <w:tcW w:w="4356" w:type="dxa"/>
          </w:tcPr>
          <w:p w14:paraId="536D1909"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MOU with primary banking partner signed. FSA No-Action Letter received or application submitted.</w:t>
            </w:r>
          </w:p>
        </w:tc>
      </w:tr>
      <w:tr w:rsidR="00114486" w:rsidRPr="005D749F" w14:paraId="435FD047" w14:textId="77777777">
        <w:tc>
          <w:tcPr>
            <w:tcW w:w="3564" w:type="dxa"/>
          </w:tcPr>
          <w:p w14:paraId="3CCF7885"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Q2 2027</w:t>
            </w:r>
          </w:p>
        </w:tc>
        <w:tc>
          <w:tcPr>
            <w:tcW w:w="4356" w:type="dxa"/>
          </w:tcPr>
          <w:p w14:paraId="7E4F4D92"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Pilot cohort launch. 15 students enrolled. Mujin Commons operational.</w:t>
            </w:r>
          </w:p>
        </w:tc>
      </w:tr>
      <w:tr w:rsidR="00114486" w:rsidRPr="005D749F" w14:paraId="1C0143D8" w14:textId="77777777">
        <w:tc>
          <w:tcPr>
            <w:tcW w:w="3564" w:type="dxa"/>
          </w:tcPr>
          <w:p w14:paraId="4DC5FF65"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Q3 2028</w:t>
            </w:r>
          </w:p>
        </w:tc>
        <w:tc>
          <w:tcPr>
            <w:tcW w:w="4356" w:type="dxa"/>
          </w:tcPr>
          <w:p w14:paraId="3FE3AA18"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Second cohort launch. 25 students enrolled. First Trust Score data reviewed for model validation.</w:t>
            </w:r>
          </w:p>
        </w:tc>
      </w:tr>
      <w:tr w:rsidR="00114486" w:rsidRPr="005D749F" w14:paraId="79EFE3D4" w14:textId="77777777">
        <w:tc>
          <w:tcPr>
            <w:tcW w:w="3564" w:type="dxa"/>
          </w:tcPr>
          <w:p w14:paraId="7794893C"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Q1 2029</w:t>
            </w:r>
          </w:p>
        </w:tc>
        <w:tc>
          <w:tcPr>
            <w:tcW w:w="4356" w:type="dxa"/>
          </w:tcPr>
          <w:p w14:paraId="1861C5D9"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First recycled capital returns from Cohort 1 graduates. Cohort 3 launch with 35 students. Model performance assessed against baseline assumptions.</w:t>
            </w:r>
          </w:p>
        </w:tc>
      </w:tr>
      <w:tr w:rsidR="00114486" w:rsidRPr="005D749F" w14:paraId="3CC5C9ED" w14:textId="77777777">
        <w:tc>
          <w:tcPr>
            <w:tcW w:w="3564" w:type="dxa"/>
          </w:tcPr>
          <w:p w14:paraId="03043F98"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Q2 2030</w:t>
            </w:r>
          </w:p>
        </w:tc>
        <w:tc>
          <w:tcPr>
            <w:tcW w:w="4356" w:type="dxa"/>
          </w:tcPr>
          <w:p w14:paraId="55085C32" w14:textId="77777777" w:rsidR="00114486" w:rsidRPr="005D749F" w:rsidRDefault="00000000">
            <w:pPr>
              <w:pStyle w:val="Compact"/>
              <w:rPr>
                <w:rFonts w:ascii="Times New Roman" w:hAnsi="Times New Roman" w:cs="Times New Roman"/>
                <w:color w:val="000000" w:themeColor="text1"/>
              </w:rPr>
            </w:pPr>
            <w:r w:rsidRPr="005D749F">
              <w:rPr>
                <w:rFonts w:ascii="Times New Roman" w:hAnsi="Times New Roman" w:cs="Times New Roman"/>
                <w:color w:val="000000" w:themeColor="text1"/>
              </w:rPr>
              <w:t>Full cohort cadence established at 50 students per year. Proprietary Trust Score platform development initiated based on validated behavioral data.</w:t>
            </w:r>
          </w:p>
        </w:tc>
      </w:tr>
    </w:tbl>
    <w:p w14:paraId="0AE058D3" w14:textId="77777777" w:rsidR="00114486"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Q2 2030 platform development milestone reflects a deliberate decision to defer proprietary technology investment until behavioral data from the first 50 students has validated the predictive model. This prioritizes process validation over platform construction and ensures that technology development is driven by empirical evidence rather than theoretical assumptions.</w:t>
      </w:r>
    </w:p>
    <w:p w14:paraId="57AA4667" w14:textId="77777777" w:rsidR="005D749F" w:rsidRDefault="005D749F">
      <w:pPr>
        <w:pStyle w:val="BodyText"/>
        <w:rPr>
          <w:rFonts w:ascii="Times New Roman" w:hAnsi="Times New Roman" w:cs="Times New Roman"/>
          <w:color w:val="000000" w:themeColor="text1"/>
        </w:rPr>
      </w:pPr>
    </w:p>
    <w:p w14:paraId="03441AD4" w14:textId="77777777" w:rsidR="005D749F" w:rsidRDefault="005D749F">
      <w:pPr>
        <w:pStyle w:val="BodyText"/>
        <w:rPr>
          <w:rFonts w:ascii="Times New Roman" w:hAnsi="Times New Roman" w:cs="Times New Roman"/>
          <w:color w:val="000000" w:themeColor="text1"/>
        </w:rPr>
      </w:pPr>
    </w:p>
    <w:p w14:paraId="50DBBFCB" w14:textId="77777777" w:rsidR="005D749F" w:rsidRDefault="005D749F">
      <w:pPr>
        <w:pStyle w:val="BodyText"/>
        <w:rPr>
          <w:rFonts w:ascii="Times New Roman" w:hAnsi="Times New Roman" w:cs="Times New Roman"/>
          <w:color w:val="000000" w:themeColor="text1"/>
        </w:rPr>
      </w:pPr>
    </w:p>
    <w:p w14:paraId="20B0A824" w14:textId="77777777" w:rsidR="005D749F" w:rsidRDefault="005D749F">
      <w:pPr>
        <w:pStyle w:val="BodyText"/>
        <w:rPr>
          <w:rFonts w:ascii="Times New Roman" w:hAnsi="Times New Roman" w:cs="Times New Roman"/>
          <w:color w:val="000000" w:themeColor="text1"/>
        </w:rPr>
      </w:pPr>
    </w:p>
    <w:p w14:paraId="0EFDD964" w14:textId="77777777" w:rsidR="005D749F" w:rsidRDefault="005D749F">
      <w:pPr>
        <w:pStyle w:val="BodyText"/>
        <w:rPr>
          <w:rFonts w:ascii="Times New Roman" w:hAnsi="Times New Roman" w:cs="Times New Roman"/>
          <w:color w:val="000000" w:themeColor="text1"/>
        </w:rPr>
      </w:pPr>
    </w:p>
    <w:p w14:paraId="26457E2C" w14:textId="77777777" w:rsidR="005D749F" w:rsidRPr="005D749F" w:rsidRDefault="005D749F">
      <w:pPr>
        <w:pStyle w:val="BodyText"/>
        <w:rPr>
          <w:rFonts w:ascii="Times New Roman" w:hAnsi="Times New Roman" w:cs="Times New Roman"/>
          <w:color w:val="000000" w:themeColor="text1"/>
        </w:rPr>
      </w:pPr>
    </w:p>
    <w:p w14:paraId="5BBC5451" w14:textId="6FDD37CC" w:rsidR="00114486" w:rsidRPr="005D749F" w:rsidRDefault="00114486">
      <w:pPr>
        <w:rPr>
          <w:rFonts w:ascii="Times New Roman" w:hAnsi="Times New Roman" w:cs="Times New Roman"/>
          <w:color w:val="000000" w:themeColor="text1"/>
        </w:rPr>
      </w:pPr>
    </w:p>
    <w:p w14:paraId="62FB9412" w14:textId="77777777" w:rsidR="00114486" w:rsidRPr="005D749F" w:rsidRDefault="00000000">
      <w:pPr>
        <w:pStyle w:val="Heading2"/>
        <w:rPr>
          <w:rFonts w:ascii="Times New Roman" w:hAnsi="Times New Roman" w:cs="Times New Roman"/>
          <w:color w:val="000000" w:themeColor="text1"/>
          <w:sz w:val="24"/>
          <w:szCs w:val="24"/>
        </w:rPr>
      </w:pPr>
      <w:bookmarkStart w:id="29" w:name="conclusion"/>
      <w:bookmarkEnd w:id="28"/>
      <w:r w:rsidRPr="005D749F">
        <w:rPr>
          <w:rFonts w:ascii="Times New Roman" w:hAnsi="Times New Roman" w:cs="Times New Roman"/>
          <w:color w:val="000000" w:themeColor="text1"/>
          <w:sz w:val="24"/>
          <w:szCs w:val="24"/>
        </w:rPr>
        <w:lastRenderedPageBreak/>
        <w:t>13. Conclusion</w:t>
      </w:r>
    </w:p>
    <w:p w14:paraId="686C5EE9"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The financial exclusion of international students in Japan is not a marginal problem. It affects hundreds of thousands of individuals who are present, active, and economically engaged but systematically prevented from accessing the tools they need to formalize and sustain that engagement. The October 2025 revision to the Business Manager Visa requirements has made this problem structurally more severe. The concurrent decline of Japan’s Protestant church network has created a supply of underutilized physical assets and motivated institutional partners who share an interest in the same population.</w:t>
      </w:r>
    </w:p>
    <w:p w14:paraId="208211D3"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Mujin 2.0 addresses this convergence through an architecture that is legally precise, financially self-sustaining, and grounded in Japan’s own history of trust-based community finance. The Recyclable Grant model navigates the regulatory constraints of the Money Lending Business Act through the deliberate distinction between grant and loan. The Religious Corporation structure provides tax efficiency and institutional credibility. The Deemed Donation mechanism converts co-working revenue into program sustainability without requiring donor capital for operations. The Trust Engine converts behavioral reliability into a form of social collateral that partner banks can recognize and act upon.</w:t>
      </w:r>
    </w:p>
    <w:p w14:paraId="38F284D3"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program’s financial projections demonstrate that a ¥158,700,000 raise funds 275 students over seven years, maintains a positive fund balance throughout the projection horizon under all modeled scenarios, and approaches structural self-reinforcement by year seven as recycled capital accelerates. The program does not require donor capital to survive. It requires it to scale.</w:t>
      </w:r>
    </w:p>
    <w:p w14:paraId="4ADE5CD5"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The pilot cohort of 15 students, launching Q2 2027 through the ISM network, is the first empirical test of these projections. The data generated by that cohort — on graduation rates, return rates, Trust Score predictive validity, and banking partner responsiveness — will either confirm the model or provide the basis for informed revision. Either outcome advances the program’s core purpose: to prove that social collateral is a legitimate and sufficient basis for financial inclusion, and to build the institutional infrastructure that makes that proof actionable.</w:t>
      </w:r>
    </w:p>
    <w:p w14:paraId="4F9C2A79" w14:textId="14B27603" w:rsidR="00114486" w:rsidRDefault="00114486">
      <w:pPr>
        <w:rPr>
          <w:rFonts w:ascii="Times New Roman" w:hAnsi="Times New Roman" w:cs="Times New Roman"/>
          <w:color w:val="000000" w:themeColor="text1"/>
        </w:rPr>
      </w:pPr>
    </w:p>
    <w:p w14:paraId="2F031D8F" w14:textId="77777777" w:rsidR="005D749F" w:rsidRDefault="005D749F">
      <w:pPr>
        <w:rPr>
          <w:rFonts w:ascii="Times New Roman" w:hAnsi="Times New Roman" w:cs="Times New Roman"/>
          <w:color w:val="000000" w:themeColor="text1"/>
        </w:rPr>
      </w:pPr>
    </w:p>
    <w:p w14:paraId="47D7F3C3" w14:textId="77777777" w:rsidR="005D749F" w:rsidRDefault="005D749F">
      <w:pPr>
        <w:rPr>
          <w:rFonts w:ascii="Times New Roman" w:hAnsi="Times New Roman" w:cs="Times New Roman"/>
          <w:color w:val="000000" w:themeColor="text1"/>
        </w:rPr>
      </w:pPr>
    </w:p>
    <w:p w14:paraId="0FEBEE4B" w14:textId="77777777" w:rsidR="005D749F" w:rsidRDefault="005D749F">
      <w:pPr>
        <w:rPr>
          <w:rFonts w:ascii="Times New Roman" w:hAnsi="Times New Roman" w:cs="Times New Roman"/>
          <w:color w:val="000000" w:themeColor="text1"/>
        </w:rPr>
      </w:pPr>
    </w:p>
    <w:p w14:paraId="76EAFF3D" w14:textId="77777777" w:rsidR="005D749F" w:rsidRDefault="005D749F">
      <w:pPr>
        <w:rPr>
          <w:rFonts w:ascii="Times New Roman" w:hAnsi="Times New Roman" w:cs="Times New Roman"/>
          <w:color w:val="000000" w:themeColor="text1"/>
        </w:rPr>
      </w:pPr>
    </w:p>
    <w:p w14:paraId="6A10B2EA" w14:textId="77777777" w:rsidR="005D749F" w:rsidRDefault="005D749F">
      <w:pPr>
        <w:rPr>
          <w:rFonts w:ascii="Times New Roman" w:hAnsi="Times New Roman" w:cs="Times New Roman"/>
          <w:color w:val="000000" w:themeColor="text1"/>
        </w:rPr>
      </w:pPr>
    </w:p>
    <w:p w14:paraId="4C5308FD" w14:textId="77777777" w:rsidR="005D749F" w:rsidRDefault="005D749F">
      <w:pPr>
        <w:rPr>
          <w:rFonts w:ascii="Times New Roman" w:hAnsi="Times New Roman" w:cs="Times New Roman"/>
          <w:color w:val="000000" w:themeColor="text1"/>
        </w:rPr>
      </w:pPr>
    </w:p>
    <w:p w14:paraId="31600262" w14:textId="77777777" w:rsidR="005D749F" w:rsidRDefault="005D749F">
      <w:pPr>
        <w:rPr>
          <w:rFonts w:ascii="Times New Roman" w:hAnsi="Times New Roman" w:cs="Times New Roman"/>
          <w:color w:val="000000" w:themeColor="text1"/>
        </w:rPr>
      </w:pPr>
    </w:p>
    <w:p w14:paraId="35116E80" w14:textId="77777777" w:rsidR="005D749F" w:rsidRPr="005D749F" w:rsidRDefault="005D749F">
      <w:pPr>
        <w:rPr>
          <w:rFonts w:ascii="Times New Roman" w:hAnsi="Times New Roman" w:cs="Times New Roman"/>
          <w:color w:val="000000" w:themeColor="text1"/>
        </w:rPr>
      </w:pPr>
    </w:p>
    <w:p w14:paraId="35164EA8" w14:textId="77777777" w:rsidR="00114486" w:rsidRPr="005D749F" w:rsidRDefault="00000000">
      <w:pPr>
        <w:pStyle w:val="Heading2"/>
        <w:rPr>
          <w:rFonts w:ascii="Times New Roman" w:hAnsi="Times New Roman" w:cs="Times New Roman"/>
          <w:color w:val="000000" w:themeColor="text1"/>
          <w:sz w:val="24"/>
          <w:szCs w:val="24"/>
        </w:rPr>
      </w:pPr>
      <w:bookmarkStart w:id="30" w:name="references"/>
      <w:bookmarkEnd w:id="29"/>
      <w:r w:rsidRPr="005D749F">
        <w:rPr>
          <w:rFonts w:ascii="Times New Roman" w:hAnsi="Times New Roman" w:cs="Times New Roman"/>
          <w:color w:val="000000" w:themeColor="text1"/>
          <w:sz w:val="24"/>
          <w:szCs w:val="24"/>
        </w:rPr>
        <w:lastRenderedPageBreak/>
        <w:t>References</w:t>
      </w:r>
    </w:p>
    <w:p w14:paraId="33D44FAF" w14:textId="77777777" w:rsidR="00114486" w:rsidRPr="005D749F" w:rsidRDefault="00000000">
      <w:pPr>
        <w:pStyle w:val="FirstParagraph"/>
        <w:rPr>
          <w:rFonts w:ascii="Times New Roman" w:hAnsi="Times New Roman" w:cs="Times New Roman"/>
          <w:color w:val="000000" w:themeColor="text1"/>
        </w:rPr>
      </w:pPr>
      <w:r w:rsidRPr="005D749F">
        <w:rPr>
          <w:rFonts w:ascii="Times New Roman" w:hAnsi="Times New Roman" w:cs="Times New Roman"/>
          <w:color w:val="000000" w:themeColor="text1"/>
        </w:rPr>
        <w:t xml:space="preserve">Bank of Japan. (2024). </w:t>
      </w:r>
      <w:r w:rsidRPr="005D749F">
        <w:rPr>
          <w:rFonts w:ascii="Times New Roman" w:hAnsi="Times New Roman" w:cs="Times New Roman"/>
          <w:i/>
          <w:iCs/>
          <w:color w:val="000000" w:themeColor="text1"/>
        </w:rPr>
        <w:t>Financial system report.</w:t>
      </w:r>
      <w:r w:rsidRPr="005D749F">
        <w:rPr>
          <w:rFonts w:ascii="Times New Roman" w:hAnsi="Times New Roman" w:cs="Times New Roman"/>
          <w:color w:val="000000" w:themeColor="text1"/>
        </w:rPr>
        <w:t xml:space="preserve"> Bank of Japan. https://www.boj.or.jp/</w:t>
      </w:r>
    </w:p>
    <w:p w14:paraId="7301BF71"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Besley, T., Coate, S., and Loury, G. (1993). The economics of rotating savings and credit associations. </w:t>
      </w:r>
      <w:r w:rsidRPr="005D749F">
        <w:rPr>
          <w:rFonts w:ascii="Times New Roman" w:hAnsi="Times New Roman" w:cs="Times New Roman"/>
          <w:i/>
          <w:iCs/>
          <w:color w:val="000000" w:themeColor="text1"/>
        </w:rPr>
        <w:t>American Economic Review, 83</w:t>
      </w:r>
      <w:r w:rsidRPr="005D749F">
        <w:rPr>
          <w:rFonts w:ascii="Times New Roman" w:hAnsi="Times New Roman" w:cs="Times New Roman"/>
          <w:color w:val="000000" w:themeColor="text1"/>
        </w:rPr>
        <w:t>(4), 792–810.</w:t>
      </w:r>
    </w:p>
    <w:p w14:paraId="251A4E35"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Bureau of Labor Statistics. (2023). </w:t>
      </w:r>
      <w:r w:rsidRPr="005D749F">
        <w:rPr>
          <w:rFonts w:ascii="Times New Roman" w:hAnsi="Times New Roman" w:cs="Times New Roman"/>
          <w:i/>
          <w:iCs/>
          <w:color w:val="000000" w:themeColor="text1"/>
        </w:rPr>
        <w:t>Business employment dynamics: Survival of private sector establishments by opening year.</w:t>
      </w:r>
      <w:r w:rsidRPr="005D749F">
        <w:rPr>
          <w:rFonts w:ascii="Times New Roman" w:hAnsi="Times New Roman" w:cs="Times New Roman"/>
          <w:color w:val="000000" w:themeColor="text1"/>
        </w:rPr>
        <w:t xml:space="preserve"> U.S. Department of Labor. https://www.bls.gov/</w:t>
      </w:r>
    </w:p>
    <w:p w14:paraId="7D372057"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Financial Services Agency. (2024). </w:t>
      </w:r>
      <w:r w:rsidRPr="005D749F">
        <w:rPr>
          <w:rFonts w:ascii="Times New Roman" w:hAnsi="Times New Roman" w:cs="Times New Roman"/>
          <w:i/>
          <w:iCs/>
          <w:color w:val="000000" w:themeColor="text1"/>
        </w:rPr>
        <w:t>Annual report on the financial system and financial administration.</w:t>
      </w:r>
      <w:r w:rsidRPr="005D749F">
        <w:rPr>
          <w:rFonts w:ascii="Times New Roman" w:hAnsi="Times New Roman" w:cs="Times New Roman"/>
          <w:color w:val="000000" w:themeColor="text1"/>
        </w:rPr>
        <w:t xml:space="preserve"> FSA Japan. https://www.fsa.go.jp/</w:t>
      </w:r>
    </w:p>
    <w:p w14:paraId="46E0A8AF"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Francks, P. (2009). </w:t>
      </w:r>
      <w:r w:rsidRPr="005D749F">
        <w:rPr>
          <w:rFonts w:ascii="Times New Roman" w:hAnsi="Times New Roman" w:cs="Times New Roman"/>
          <w:i/>
          <w:iCs/>
          <w:color w:val="000000" w:themeColor="text1"/>
        </w:rPr>
        <w:t>The Japanese consumer: An alternative economic history of modern Japan.</w:t>
      </w:r>
      <w:r w:rsidRPr="005D749F">
        <w:rPr>
          <w:rFonts w:ascii="Times New Roman" w:hAnsi="Times New Roman" w:cs="Times New Roman"/>
          <w:color w:val="000000" w:themeColor="text1"/>
        </w:rPr>
        <w:t xml:space="preserve"> Cambridge University Press.</w:t>
      </w:r>
    </w:p>
    <w:p w14:paraId="33B41DD0"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Hoshi, T., and Kashyap, A. K. (2001). </w:t>
      </w:r>
      <w:r w:rsidRPr="005D749F">
        <w:rPr>
          <w:rFonts w:ascii="Times New Roman" w:hAnsi="Times New Roman" w:cs="Times New Roman"/>
          <w:i/>
          <w:iCs/>
          <w:color w:val="000000" w:themeColor="text1"/>
        </w:rPr>
        <w:t>Corporate financing and governance in Japan: The road to the future.</w:t>
      </w:r>
      <w:r w:rsidRPr="005D749F">
        <w:rPr>
          <w:rFonts w:ascii="Times New Roman" w:hAnsi="Times New Roman" w:cs="Times New Roman"/>
          <w:color w:val="000000" w:themeColor="text1"/>
        </w:rPr>
        <w:t xml:space="preserve"> MIT Press.</w:t>
      </w:r>
    </w:p>
    <w:p w14:paraId="1FE87F0B"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Japan Finance Corporation. (2024). </w:t>
      </w:r>
      <w:r w:rsidRPr="005D749F">
        <w:rPr>
          <w:rFonts w:ascii="Times New Roman" w:hAnsi="Times New Roman" w:cs="Times New Roman"/>
          <w:i/>
          <w:iCs/>
          <w:color w:val="000000" w:themeColor="text1"/>
        </w:rPr>
        <w:t>Annual report 2024.</w:t>
      </w:r>
      <w:r w:rsidRPr="005D749F">
        <w:rPr>
          <w:rFonts w:ascii="Times New Roman" w:hAnsi="Times New Roman" w:cs="Times New Roman"/>
          <w:color w:val="000000" w:themeColor="text1"/>
        </w:rPr>
        <w:t xml:space="preserve"> JFC. https://www.jfc.go.jp/</w:t>
      </w:r>
    </w:p>
    <w:p w14:paraId="355E919A"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Japan Student Services Organization. (2024). </w:t>
      </w:r>
      <w:r w:rsidRPr="005D749F">
        <w:rPr>
          <w:rFonts w:ascii="Times New Roman" w:hAnsi="Times New Roman" w:cs="Times New Roman"/>
          <w:i/>
          <w:iCs/>
          <w:color w:val="000000" w:themeColor="text1"/>
        </w:rPr>
        <w:t>Survey on international students in Japan 2024.</w:t>
      </w:r>
      <w:r w:rsidRPr="005D749F">
        <w:rPr>
          <w:rFonts w:ascii="Times New Roman" w:hAnsi="Times New Roman" w:cs="Times New Roman"/>
          <w:color w:val="000000" w:themeColor="text1"/>
        </w:rPr>
        <w:t xml:space="preserve"> JASSO. https://www.jasso.go.jp/</w:t>
      </w:r>
    </w:p>
    <w:p w14:paraId="08049B2A"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Kauffman Foundation. (2023). </w:t>
      </w:r>
      <w:r w:rsidRPr="005D749F">
        <w:rPr>
          <w:rFonts w:ascii="Times New Roman" w:hAnsi="Times New Roman" w:cs="Times New Roman"/>
          <w:i/>
          <w:iCs/>
          <w:color w:val="000000" w:themeColor="text1"/>
        </w:rPr>
        <w:t>State of entrepreneurship 2023.</w:t>
      </w:r>
      <w:r w:rsidRPr="005D749F">
        <w:rPr>
          <w:rFonts w:ascii="Times New Roman" w:hAnsi="Times New Roman" w:cs="Times New Roman"/>
          <w:color w:val="000000" w:themeColor="text1"/>
        </w:rPr>
        <w:t xml:space="preserve"> Ewing Marion Kauffman Foundation. https://www.kauffman.org/</w:t>
      </w:r>
    </w:p>
    <w:p w14:paraId="33C1420C"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Ministry of Justice, Japan. (2025). </w:t>
      </w:r>
      <w:r w:rsidRPr="005D749F">
        <w:rPr>
          <w:rFonts w:ascii="Times New Roman" w:hAnsi="Times New Roman" w:cs="Times New Roman"/>
          <w:i/>
          <w:iCs/>
          <w:color w:val="000000" w:themeColor="text1"/>
        </w:rPr>
        <w:t>Revision to Business Manager Visa requirements: October 2025.</w:t>
      </w:r>
      <w:r w:rsidRPr="005D749F">
        <w:rPr>
          <w:rFonts w:ascii="Times New Roman" w:hAnsi="Times New Roman" w:cs="Times New Roman"/>
          <w:color w:val="000000" w:themeColor="text1"/>
        </w:rPr>
        <w:t xml:space="preserve"> Ministry of Justice. https://www.moj.go.jp/</w:t>
      </w:r>
    </w:p>
    <w:p w14:paraId="180F8B25"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National Tax Agency, Japan. (2024). </w:t>
      </w:r>
      <w:r w:rsidRPr="005D749F">
        <w:rPr>
          <w:rFonts w:ascii="Times New Roman" w:hAnsi="Times New Roman" w:cs="Times New Roman"/>
          <w:i/>
          <w:iCs/>
          <w:color w:val="000000" w:themeColor="text1"/>
        </w:rPr>
        <w:t>Corporation tax: Religious corporation provisions and deemed donation.</w:t>
      </w:r>
      <w:r w:rsidRPr="005D749F">
        <w:rPr>
          <w:rFonts w:ascii="Times New Roman" w:hAnsi="Times New Roman" w:cs="Times New Roman"/>
          <w:color w:val="000000" w:themeColor="text1"/>
        </w:rPr>
        <w:t xml:space="preserve"> NTA. https://www.nta.go.jp/</w:t>
      </w:r>
    </w:p>
    <w:p w14:paraId="2759DA8B"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Seventh Japan Congress on Evangelism. (2024). </w:t>
      </w:r>
      <w:r w:rsidRPr="005D749F">
        <w:rPr>
          <w:rFonts w:ascii="Times New Roman" w:hAnsi="Times New Roman" w:cs="Times New Roman"/>
          <w:i/>
          <w:iCs/>
          <w:color w:val="000000" w:themeColor="text1"/>
        </w:rPr>
        <w:t xml:space="preserve">Congress </w:t>
      </w:r>
      <w:proofErr w:type="gramStart"/>
      <w:r w:rsidRPr="005D749F">
        <w:rPr>
          <w:rFonts w:ascii="Times New Roman" w:hAnsi="Times New Roman" w:cs="Times New Roman"/>
          <w:i/>
          <w:iCs/>
          <w:color w:val="000000" w:themeColor="text1"/>
        </w:rPr>
        <w:t>report</w:t>
      </w:r>
      <w:proofErr w:type="gramEnd"/>
      <w:r w:rsidRPr="005D749F">
        <w:rPr>
          <w:rFonts w:ascii="Times New Roman" w:hAnsi="Times New Roman" w:cs="Times New Roman"/>
          <w:i/>
          <w:iCs/>
          <w:color w:val="000000" w:themeColor="text1"/>
        </w:rPr>
        <w:t xml:space="preserve"> and statistical projections on Protestant church closures.</w:t>
      </w:r>
      <w:r w:rsidRPr="005D749F">
        <w:rPr>
          <w:rFonts w:ascii="Times New Roman" w:hAnsi="Times New Roman" w:cs="Times New Roman"/>
          <w:color w:val="000000" w:themeColor="text1"/>
        </w:rPr>
        <w:t xml:space="preserve"> Japan Congress on Evangelism.</w:t>
      </w:r>
    </w:p>
    <w:p w14:paraId="3D21C0A4" w14:textId="77777777" w:rsidR="00114486" w:rsidRPr="005D749F" w:rsidRDefault="00000000">
      <w:pPr>
        <w:pStyle w:val="BodyText"/>
        <w:rPr>
          <w:rFonts w:ascii="Times New Roman" w:hAnsi="Times New Roman" w:cs="Times New Roman"/>
          <w:color w:val="000000" w:themeColor="text1"/>
        </w:rPr>
      </w:pPr>
      <w:r w:rsidRPr="005D749F">
        <w:rPr>
          <w:rFonts w:ascii="Times New Roman" w:hAnsi="Times New Roman" w:cs="Times New Roman"/>
          <w:color w:val="000000" w:themeColor="text1"/>
        </w:rPr>
        <w:t xml:space="preserve">World Bank. (2022). </w:t>
      </w:r>
      <w:r w:rsidRPr="005D749F">
        <w:rPr>
          <w:rFonts w:ascii="Times New Roman" w:hAnsi="Times New Roman" w:cs="Times New Roman"/>
          <w:i/>
          <w:iCs/>
          <w:color w:val="000000" w:themeColor="text1"/>
        </w:rPr>
        <w:t>The global findex database 2021: Financial inclusion, digital payments, and resilience in the age of COVID-19.</w:t>
      </w:r>
      <w:r w:rsidRPr="005D749F">
        <w:rPr>
          <w:rFonts w:ascii="Times New Roman" w:hAnsi="Times New Roman" w:cs="Times New Roman"/>
          <w:color w:val="000000" w:themeColor="text1"/>
        </w:rPr>
        <w:t xml:space="preserve"> World Bank Group. https://www.worldbank.org/</w:t>
      </w:r>
      <w:bookmarkEnd w:id="0"/>
      <w:bookmarkEnd w:id="30"/>
    </w:p>
    <w:sectPr w:rsidR="00114486" w:rsidRPr="005D749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60B1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BB68C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0B0B2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5850244">
    <w:abstractNumId w:val="0"/>
  </w:num>
  <w:num w:numId="2" w16cid:durableId="1352605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1803636">
    <w:abstractNumId w:val="1"/>
  </w:num>
  <w:num w:numId="4" w16cid:durableId="1489663079">
    <w:abstractNumId w:val="1"/>
  </w:num>
  <w:num w:numId="5" w16cid:durableId="1373454616">
    <w:abstractNumId w:val="1"/>
  </w:num>
  <w:num w:numId="6" w16cid:durableId="466048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14486"/>
    <w:rsid w:val="00114486"/>
    <w:rsid w:val="001E3E06"/>
    <w:rsid w:val="005D74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691D8"/>
  <w15:docId w15:val="{DA97F2BD-F6EC-F945-BFDD-5192D7AFB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21</Pages>
  <Words>14854</Words>
  <Characters>33273</Characters>
  <Application>Microsoft Office Word</Application>
  <DocSecurity>0</DocSecurity>
  <Lines>739</Lines>
  <Paragraphs>308</Paragraphs>
  <ScaleCrop>false</ScaleCrop>
  <Company/>
  <LinksUpToDate>false</LinksUpToDate>
  <CharactersWithSpaces>47819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Jon Ahn</cp:lastModifiedBy>
  <cp:revision>2</cp:revision>
  <dcterms:created xsi:type="dcterms:W3CDTF">2026-03-19T15:47:00Z</dcterms:created>
  <dcterms:modified xsi:type="dcterms:W3CDTF">2026-03-19T16:17:00Z</dcterms:modified>
</cp:coreProperties>
</file>