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 PHASE 3 RANDOMIZED, DOUBLE-BLIND, PLACEBO-CONTROLLED STUDY TO EVALUATE THE EFFICACY AND SAFETY OF RITLECITINIB (PF-06651600) IN PEDIATRIC AND ADULT PARTICIPANTS WITH ALOPECIA AREATA</w:t>
      </w:r>
    </w:p>
    <w:p>
      <w:pPr>
        <w:spacing w:after="40" w:before="40"/>
      </w:pPr>
      <w: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 Date</w:t>
            </w:r>
          </w:p>
        </w:tc>
      </w:tr>
      <w:tr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Predicted Amendment 1 (Draft)</w:t>
            </w:r>
          </w:p>
        </w:tc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~6–12 months post FPI (predicted)</w:t>
            </w:r>
          </w:p>
        </w:tc>
      </w:tr>
      <w:tr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Predicted Amendment 2 (Draft)</w:t>
            </w:r>
          </w:p>
        </w:tc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~12–18 months post FPI (predicted)</w:t>
            </w:r>
          </w:p>
        </w:tc>
      </w:tr>
      <w:tr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Protocol (v0)</w:t>
            </w:r>
          </w:p>
        </w:tc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June 2024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This document is an AI-generated draft amendment profile for Protocol B7981027. Predicted amendments are derived from historical benchmark patterns across 3 I&amp;I Phase III training studies (7 amendments). All predicted changes require clinical team review and validation before use in any regulatory submission. Country-specific predictions (EU, China) are included where patterns are directly observed in the training set.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Protocol Amendment Summary of Changes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Predicted Amendment 1 (~6-12 months post first patient enrolled)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Overall Rationale for the Amendment: Regulatory authority (EU/UK) requests for clarification of eligibility criteria and protocol procedures. Based on historical I&amp;I Ph III pattern: 57% of amendments are regulatory-driven with clarification as dominant change type (91% of individual changes). Country-specific regulatory requirements (EU body weight threshold, China HBV/HIV testing) predicted based on pediatric I&amp;I study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Brief Rationale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 # and Name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Substantial Modification(s)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Applicable to All Countries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Assessments and Procedures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SALT score assessed at Screening and as specified in Schedule of Activities. SALT assessment must be performed by a trained and certified rater. Rater certification must be completed prior to first participant assessment.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 of rater certification requirement — operational clarification to ensure consistency of SALT scoring across global sites.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8.3. Study Assessments and Procedures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Applicable to Countries in EU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Exclusion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exclusion criterion: Hypersensitivity to the active substance(s) or to any of the excipients of the investigational product.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address a query from Regulatory Authorities (EU) and add a specific exclusion criterion regarding hypersensitivity to any component of the study drug.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5.2. Exclusion Criteria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Inclusion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sites in EU member countries: Minimum body weight of ≥17 kg at the time of the screening visit.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address a query from Regulatory Authorities (EU) and specify a minimum body weight for inclusion in the trial.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5.1. Inclusion Criteria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 to China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Administrative Procedures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Estimated total blood volume sampling collection approximately 65 ml, with no change in the number of sample collections per schedule of activities.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blood volume revised based on confirmation from central lab vendor and to be compliant with country-specific requirements of increased frequency of Hepatitis B virus testing every 3 months and additional blood sampling collection for HIV testing.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8.1. Administrative Procedures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Non-Substantial Modification(s)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Applicable to All Countries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Inclusion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 12 years or older at the time of informed consent/assent (with a minimum of approximately 20% of the total participants between the ages of 12 and 17 years, inclusive)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 clarification to specify age range is inclusive — consistent with EU/UK regulatory guidance on pediatric eligibility language.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5.1. Inclusion Criteria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Exclusion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History of or current diagnosis of active tuberculosis (TB). Participants with a history of latent tuberculosis who have completed appropriate treatment per local guidelines may be eligible at the discretion of the investigator.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Clarification to align with evolving regulatory guidance on TB screening in JAK inhibitor studies. Addition of latent TB language consistent with ritlecitinib IB updates.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5.2. Exclusion Criteria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 of Activities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Blood volume collected per visit as specified in Schedule of Activities. Total estimated blood volume for the study does not exceed [X] mL.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 requirement to specify total blood volume — consistent with I&amp;I Ph III Amendment 1 pattern: 'revise the estimated total blood volume' cited in training study overall_rationale.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8.1. Schedule of Activities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Intervention Administration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Ritlecitinib 50 mg once daily or matching placebo administered orally with or without food.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Clarification of food effect guidance for oral administration — common operational clarification in JAK inhibitor protocols.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6.1. Study Intervention Administration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Protocol Amendment Summary of Changes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Predicted Amendment 2 (~12-18 months post first patient enrolled)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Overall Rationale for the Amendment: Operational amendments driven by site feedback and enrollment experience. Procedure window adjustments and assessment clarifications are the dominant pattern in I&amp;I Ph III Amendment 2. Operational category rate: 29% in training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Brief Rationale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 # and Name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Substantial Modification(s)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Applicable to All Countries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 Template Updates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Incorporated current Pfizer protocol template requirements across SAE reporting, safety sections, and data quality assurance sections.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align with current Pfizer protocol template and requirements — standard administrative update observed in all I&amp;I Ph III training amendments.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Multiple. Protocol Template Updates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Failures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[Text removed — screen failure data reporting on CRF now required]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failure data is required to be reported on the CRF to ensure transparent reporting to meet CONSORT publishing requirements and respond to regulatory authority queries.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5.4. Screen Failures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Non-Substantial Modification(s)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Applicable to All Countries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 of Activities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Visit window: ±7 days. If a visit cannot be completed within the specified window due to site or participant circumstances, the investigator should contact the medical monitor.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Clarification of visit window exception handling — standard operational amendment observed in all I&amp;I Ph III training studies.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8.1. Schedule of Activities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Assessments and Procedures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C-SSRS to be administered at Screening (lifetime version) and as specified in Schedule of Activities (since last visit version). The baseline C-SSRS assessment must capture lifetime suicidal ideation and behavior history.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C-SSRS lifetime versus since-last-visit version specification — a known operational gap in pediatric JAK inhibitor studies. Aligns with FDA pediatric safety requirements.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8.3. Study Assessments and Procedures</w:t>
            </w:r>
          </w:p>
        </w:tc>
      </w:tr>
      <w:t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Administrative Procedures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[CLINICAL TEAM TO COMPLETE]</w:t>
            </w: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clarifications driven by site feedback — specific content requires 12-month enrollment data.</w:t>
            </w:r>
          </w:p>
        </w:tc>
        <w:tc>
          <w:tcPr>
            <w:tcW w:type="dxa" w:w="2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8.2. Administrative Procedures</w:t>
            </w:r>
          </w:p>
        </w:tc>
      </w:tr>
    </w:tbl>
    <w:p>
      <w:pP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spacing w:after="0" w:before="60"/>
      <w:jc w:val="center"/>
    </w:pPr>
    <w:r>
      <w:rPr>
        <w:rFonts w:ascii="Arial" w:cs="Arial" w:eastAsia="Arial" w:hAnsi="Arial"/>
        <w:sz w:val="14"/>
        <w:szCs w:val="14"/>
      </w:rPr>
      <w:t xml:space="preserve">PFIZER CONFIDENTIAL — AI-Generated Draft — For Clinical Review Only</w:t>
    </w:r>
    <w:r>
      <w:rPr>
        <w:rFonts w:ascii="Arial" w:cs="Arial" w:eastAsia="Arial" w:hAnsi="Arial"/>
        <w:sz w:val="14"/>
        <w:szCs w:val="14"/>
      </w:rPr>
      <w:t xml:space="preserve">		</w:t>
    </w:r>
    <w:r>
      <w:rPr>
        <w:rFonts w:ascii="Arial" w:cs="Arial" w:eastAsia="Arial" w:hAnsi="Arial"/>
        <w:sz w:val="14"/>
        <w:szCs w:val="14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6"/>
        <w:szCs w:val="16"/>
      </w:rPr>
      <w:t xml:space="preserve">Ritlecitinib (PF-06651600)</w:t>
    </w:r>
  </w:p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6"/>
        <w:szCs w:val="16"/>
      </w:rPr>
      <w:t xml:space="preserve">Protocol B7981027</w:t>
    </w:r>
  </w:p>
  <w:p>
    <w:pPr>
      <w:pBdr>
        <w:bottom w:val="single" w:color="000000" w:sz="4" w:space="4"/>
      </w:pBdr>
      <w:spacing w:after="60" w:before="0"/>
    </w:pPr>
    <w:r>
      <w:rPr>
        <w:rFonts w:ascii="Arial" w:cs="Arial" w:eastAsia="Arial" w:hAnsi="Arial"/>
        <w:sz w:val="16"/>
        <w:szCs w:val="16"/>
      </w:rPr>
      <w:t xml:space="preserve">Draft Predicted Amendment Profile — 2026-04-25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2026-04-26T00:29:04.127Z</dcterms:created>
  <dcterms:modified xsi:type="dcterms:W3CDTF">2026-04-26T00:29:04.128Z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