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TACTIVE-U: AN INTERVENTIONAL SAFETY AND EFFICACY PHASE 1B/2, OPEN-LABEL UMBRELLA STUDY TO INVESTIGATE TOLERABILITY, PK, AND ANTITUMOR ACTIVITY OF VEPDEGESTRANT (ARV-471/PF-07850327), AN ORAL PROTEOLYSIS TARGETING CHIMERA, IN COMBINATION WITH OTHER ANTICANCER TREATMENTS IN PARTICIPANTS AGED 18 AND OLDER WITH ER+ ADVANCED OR METASTATIC BREAST CANCER, SUB-STUDY C (ARV-471 IN COMBINATION WITH SAMURACICLIB)</w:t>
      </w:r>
    </w:p>
    <w:p>
      <w:pPr>
        <w:spacing w:after="160"/>
      </w:pPr>
      <w:r>
        <w:rPr>
          <w:b/>
          <w:bCs/>
        </w:rP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5%"/>
            <w:gridSpan w:val="1"/>
            <w:tcBorders>
              <w:top w:val="single" w:color="BFC6C8" w:sz="1"/>
              <w:left w:val="single" w:color="BFC6C8" w:sz="1"/>
              <w:bottom w:val="single" w:color="BFC6C8" w:sz="1"/>
              <w:right w:val="single" w:color="BFC6C8" w:sz="1"/>
            </w:tcBorders>
          </w:tcPr>
          <w:p>
            <w:r>
              <w:t xml:space="preserve">Document</w:t>
            </w:r>
          </w:p>
        </w:tc>
        <w:tc>
          <w:tcPr>
            <w:tcW w:type="pct" w:w="35%"/>
            <w:gridSpan w:val="1"/>
            <w:tcBorders>
              <w:top w:val="single" w:color="BFC6C8" w:sz="1"/>
              <w:left w:val="single" w:color="BFC6C8" w:sz="1"/>
              <w:bottom w:val="single" w:color="BFC6C8" w:sz="1"/>
              <w:right w:val="single" w:color="BFC6C8" w:sz="1"/>
            </w:tcBorders>
          </w:tcPr>
          <w:p>
            <w:r>
              <w:t xml:space="preserve">Version Date</w:t>
            </w:r>
          </w:p>
        </w:tc>
      </w:tr>
      <w:tr>
        <w:tc>
          <w:tcPr>
            <w:tcW w:type="pct" w:w="65%"/>
            <w:gridSpan w:val="1"/>
            <w:tcBorders>
              <w:top w:val="single" w:color="BFC6C8" w:sz="1"/>
              <w:left w:val="single" w:color="BFC6C8" w:sz="1"/>
              <w:bottom w:val="single" w:color="BFC6C8" w:sz="1"/>
              <w:right w:val="single" w:color="BFC6C8" w:sz="1"/>
            </w:tcBorders>
          </w:tcPr>
          <w:p>
            <w:r>
              <w:t xml:space="preserve">Predicted Amendment 1 (Draft)</w:t>
            </w:r>
          </w:p>
        </w:tc>
        <w:tc>
          <w:tcPr>
            <w:tcW w:type="pct" w:w="35%"/>
            <w:gridSpan w:val="1"/>
            <w:tcBorders>
              <w:top w:val="single" w:color="BFC6C8" w:sz="1"/>
              <w:left w:val="single" w:color="BFC6C8" w:sz="1"/>
              <w:bottom w:val="single" w:color="BFC6C8" w:sz="1"/>
              <w:right w:val="single" w:color="BFC6C8" w:sz="1"/>
            </w:tcBorders>
          </w:tcPr>
          <w:p>
            <w:r>
              <w:t xml:space="preserve">~6-12 months post first patient enrolled</w:t>
            </w:r>
          </w:p>
        </w:tc>
      </w:tr>
      <w:tr>
        <w:tc>
          <w:tcPr>
            <w:tcW w:type="pct" w:w="65%"/>
            <w:gridSpan w:val="1"/>
            <w:tcBorders>
              <w:top w:val="single" w:color="BFC6C8" w:sz="1"/>
              <w:left w:val="single" w:color="BFC6C8" w:sz="1"/>
              <w:bottom w:val="single" w:color="BFC6C8" w:sz="1"/>
              <w:right w:val="single" w:color="BFC6C8" w:sz="1"/>
            </w:tcBorders>
          </w:tcPr>
          <w:p>
            <w:r>
              <w:t xml:space="preserve">Predicted Amendment 2 (Draft)</w:t>
            </w:r>
          </w:p>
        </w:tc>
        <w:tc>
          <w:tcPr>
            <w:tcW w:type="pct" w:w="35%"/>
            <w:gridSpan w:val="1"/>
            <w:tcBorders>
              <w:top w:val="single" w:color="BFC6C8" w:sz="1"/>
              <w:left w:val="single" w:color="BFC6C8" w:sz="1"/>
              <w:bottom w:val="single" w:color="BFC6C8" w:sz="1"/>
              <w:right w:val="single" w:color="BFC6C8" w:sz="1"/>
            </w:tcBorders>
          </w:tcPr>
          <w:p>
            <w:r>
              <w:t xml:space="preserve">~12-18 months post first patient enrolled</w:t>
            </w:r>
          </w:p>
        </w:tc>
      </w:tr>
      <w:tr>
        <w:tc>
          <w:tcPr>
            <w:tcW w:type="pct" w:w="65%"/>
            <w:gridSpan w:val="1"/>
            <w:tcBorders>
              <w:top w:val="single" w:color="BFC6C8" w:sz="1"/>
              <w:left w:val="single" w:color="BFC6C8" w:sz="1"/>
              <w:bottom w:val="single" w:color="BFC6C8" w:sz="1"/>
              <w:right w:val="single" w:color="BFC6C8" w:sz="1"/>
            </w:tcBorders>
          </w:tcPr>
          <w:p>
            <w:r>
              <w:t xml:space="preserve">Predicted Amendment 3 (Draft)</w:t>
            </w:r>
          </w:p>
        </w:tc>
        <w:tc>
          <w:tcPr>
            <w:tcW w:type="pct" w:w="35%"/>
            <w:gridSpan w:val="1"/>
            <w:tcBorders>
              <w:top w:val="single" w:color="BFC6C8" w:sz="1"/>
              <w:left w:val="single" w:color="BFC6C8" w:sz="1"/>
              <w:bottom w:val="single" w:color="BFC6C8" w:sz="1"/>
              <w:right w:val="single" w:color="BFC6C8" w:sz="1"/>
            </w:tcBorders>
          </w:tcPr>
          <w:p>
            <w:r>
              <w:t xml:space="preserve">~18-24 months post first patient enrolled</w:t>
            </w:r>
          </w:p>
        </w:tc>
      </w:tr>
      <w:tr>
        <w:tc>
          <w:tcPr>
            <w:tcW w:type="pct" w:w="65%"/>
            <w:gridSpan w:val="1"/>
            <w:tcBorders>
              <w:top w:val="single" w:color="BFC6C8" w:sz="1"/>
              <w:left w:val="single" w:color="BFC6C8" w:sz="1"/>
              <w:bottom w:val="single" w:color="BFC6C8" w:sz="1"/>
              <w:right w:val="single" w:color="BFC6C8" w:sz="1"/>
            </w:tcBorders>
          </w:tcPr>
          <w:p>
            <w:r>
              <w:t xml:space="preserve">Base Protocol</w:t>
            </w:r>
          </w:p>
        </w:tc>
        <w:tc>
          <w:tcPr>
            <w:tcW w:type="pct" w:w="35%"/>
            <w:gridSpan w:val="1"/>
            <w:tcBorders>
              <w:top w:val="single" w:color="BFC6C8" w:sz="1"/>
              <w:left w:val="single" w:color="BFC6C8" w:sz="1"/>
              <w:bottom w:val="single" w:color="BFC6C8" w:sz="1"/>
              <w:right w:val="single" w:color="BFC6C8" w:sz="1"/>
            </w:tcBorders>
          </w:tcPr>
          <w:p>
            <w:r>
              <w:t xml:space="preserve">Final Protocol Amendment 2</w:t>
            </w:r>
          </w:p>
        </w:tc>
      </w:tr>
    </w:tbl>
    <w:p>
      <w:pPr>
        <w:spacing w:after="220" w:before="220"/>
      </w:pPr>
      <w:r>
        <w:t xml:space="preserve">This document is an AI-generated draft amendment profile for Protocol C4891024. Predicted amendments are derived from amendment_benchmarks.yaml v1.0 - Oncology / Ph_III block (9 training studies, 31 amendments). All predicted changes require clinical team review and validation before use in any regulatory submission.</w:t>
      </w:r>
    </w:p>
    <w:p>
      <w:pPr>
        <w:spacing w:after="160" w:before="220"/>
      </w:pPr>
      <w:r>
        <w:rPr>
          <w:b/>
          <w:bCs/>
        </w:rPr>
        <w:t xml:space="preserve">Predicted Amendment 1 (~6-12 months post first patient enrolled)</w:t>
      </w:r>
    </w:p>
    <w:p>
      <w:pPr>
        <w:spacing w:after="180"/>
      </w:pPr>
      <w:r>
        <w:t xml:space="preserve">Overall Rationale for the Amendment: Historical Oncology Phase III amendments most frequently impact Eligibility Criteria, Study Intervention, and Study Procedures. This predicted amendment groups EU and global changes following the clarification patterns observed in the benchmark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
            <w:gridSpan w:val="1"/>
            <w:tcBorders>
              <w:top w:val="single" w:color="BFC6C8" w:sz="1"/>
              <w:left w:val="single" w:color="BFC6C8" w:sz="1"/>
              <w:bottom w:val="single" w:color="BFC6C8" w:sz="1"/>
              <w:right w:val="single" w:color="BFC6C8" w:sz="1"/>
            </w:tcBorders>
          </w:tcPr>
          <w:p>
            <w:r>
              <w:t xml:space="preserve">Description of Change</w:t>
            </w:r>
          </w:p>
        </w:tc>
        <w:tc>
          <w:tcPr>
            <w:tcW w:type="pct" w:w="33.33%"/>
            <w:gridSpan w:val="1"/>
            <w:tcBorders>
              <w:top w:val="single" w:color="BFC6C8" w:sz="1"/>
              <w:left w:val="single" w:color="BFC6C8" w:sz="1"/>
              <w:bottom w:val="single" w:color="BFC6C8" w:sz="1"/>
              <w:right w:val="single" w:color="BFC6C8" w:sz="1"/>
            </w:tcBorders>
          </w:tcPr>
          <w:p>
            <w:r>
              <w:t xml:space="preserve">Brief Rationale</w:t>
            </w:r>
          </w:p>
        </w:tc>
        <w:tc>
          <w:tcPr>
            <w:tcW w:type="pct" w:w="33.33%"/>
            <w:gridSpan w:val="1"/>
            <w:tcBorders>
              <w:top w:val="single" w:color="BFC6C8" w:sz="1"/>
              <w:left w:val="single" w:color="BFC6C8" w:sz="1"/>
              <w:bottom w:val="single" w:color="BFC6C8" w:sz="1"/>
              <w:right w:val="single" w:color="BFC6C8" w:sz="1"/>
            </w:tcBorders>
          </w:tcPr>
          <w:p>
            <w:r>
              <w:t xml:space="preserve">Section # and Name</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Substantial Modification(s)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Applicable to Countries in EU</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Exclusion Criteria</w:t>
            </w:r>
          </w:p>
          <w:p>
            <w:r>
              <w:t xml:space="preserve">Add an EU-specific exclusion criterion stating that participants with known hypersensitivity to ARV-471 or any excipient are not eligible for enrollment.</w:t>
            </w:r>
          </w:p>
        </w:tc>
        <w:tc>
          <w:tcPr>
            <w:tcW w:type="pct" w:w="33.33%"/>
            <w:gridSpan w:val="1"/>
            <w:tcBorders>
              <w:top w:val="single" w:color="BFC6C8" w:sz="1"/>
              <w:left w:val="single" w:color="BFC6C8" w:sz="1"/>
              <w:bottom w:val="single" w:color="BFC6C8" w:sz="1"/>
              <w:right w:val="single" w:color="BFC6C8" w:sz="1"/>
            </w:tcBorders>
          </w:tcPr>
          <w:p>
            <w:r>
              <w:t xml:space="preserve">Regulatory-driven EU eligibility clarifications are explicitly represented in the training data and are triggered when eligibility language is present in a benchmark block with high regulatory pressure.</w:t>
            </w:r>
          </w:p>
        </w:tc>
        <w:tc>
          <w:tcPr>
            <w:tcW w:type="pct" w:w="33.33%"/>
            <w:gridSpan w:val="1"/>
            <w:tcBorders>
              <w:top w:val="single" w:color="BFC6C8" w:sz="1"/>
              <w:left w:val="single" w:color="BFC6C8" w:sz="1"/>
              <w:bottom w:val="single" w:color="BFC6C8" w:sz="1"/>
              <w:right w:val="single" w:color="BFC6C8" w:sz="1"/>
            </w:tcBorders>
          </w:tcPr>
          <w:p>
            <w:r>
              <w:t xml:space="preserve">Section 5.2. Exclusion Criteria</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Non-Substantial Modification(s)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Applicable to All Countries</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Study Intervention Administration</w:t>
            </w:r>
          </w:p>
          <w:p>
            <w:r>
              <w:t xml:space="preserve">ARV-471 will be administered as 100 mg tablets (dose level 100 mg or 200 mg QD) to participants. During the combination treatment period, participants will receive ARV-471 in combination with samuraciclib in 28-day cycles. In the DDI Assessment Cohort(s), participants will receive ARV-471 as monotherapy after samuraciclib monotherapy and before starting the 28-day cycle combination treatment period. ARV-471 will be administered orally, continuously on 28-day cycles according to the SoA. The participant should take ARV-471 in the morning with food, at approximately the same time. If a participant misses a day of treatment or vomits any time after taking a dose, the participant should not double-up, make up the dose, or make it up, but resume dosing on the next day of the dosing cycle as prescribed. If a participant inadvertently takes 1 extra dose during a single dosing day, the participant must inform the investigator; the investigator should contact the study medical monitor and closely monitor the participant for any AEs. Oral Route of Administration Once Daily 100 mg QD; 200 mg QD. Clarify route-specific administration steps, handling instructions, and participant counseling before dosing. Clarify fed or fasted conditions and the required timing of meals around dosing.</w:t>
            </w:r>
          </w:p>
        </w:tc>
        <w:tc>
          <w:tcPr>
            <w:tcW w:type="pct" w:w="33.33%"/>
            <w:gridSpan w:val="1"/>
            <w:tcBorders>
              <w:top w:val="single" w:color="BFC6C8" w:sz="1"/>
              <w:left w:val="single" w:color="BFC6C8" w:sz="1"/>
              <w:bottom w:val="single" w:color="BFC6C8" w:sz="1"/>
              <w:right w:val="single" w:color="BFC6C8" w:sz="1"/>
            </w:tcBorders>
          </w:tcPr>
          <w:p>
            <w:r>
              <w:t xml:space="preserve">Administration language is commonly refined after site activation to minimize avoidable dosing deviations.</w:t>
            </w:r>
          </w:p>
        </w:tc>
        <w:tc>
          <w:tcPr>
            <w:tcW w:type="pct" w:w="33.33%"/>
            <w:gridSpan w:val="1"/>
            <w:tcBorders>
              <w:top w:val="single" w:color="BFC6C8" w:sz="1"/>
              <w:left w:val="single" w:color="BFC6C8" w:sz="1"/>
              <w:bottom w:val="single" w:color="BFC6C8" w:sz="1"/>
              <w:right w:val="single" w:color="BFC6C8" w:sz="1"/>
            </w:tcBorders>
          </w:tcPr>
          <w:p>
            <w:r>
              <w:t xml:space="preserve">Section 6.1. Study Intervention Administration</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Schedule of Activities</w:t>
            </w:r>
          </w:p>
          <w:p>
            <w:r>
              <w:t xml:space="preserve">Combination Treatment Phase 1 Cycle = 28 days Visits on Day 1 of every 2 cycles (1 cycle = 28 days). All assessments should be performed prior to study intervention administration, unless otherwise specified. Day 1 of every 2 cycles ±4d Post-Treatment Follow-up Follow up visit will be performed at least 28 days from last dose of study intervention OR prior to the initiation of any new anticancer therapy whichever comes first. The SAE reporting period is 28 days from last dose regardless of the initiation of a new anticancer therapy. At least 28 days from last dose of study intervention or prior to initiation of any new anticancer therapy, whichever comes first +7d. Clarify which assessments may occur within the permitted visit windows and which procedures must remain on the nominal day.</w:t>
            </w:r>
          </w:p>
        </w:tc>
        <w:tc>
          <w:tcPr>
            <w:tcW w:type="pct" w:w="33.33%"/>
            <w:gridSpan w:val="1"/>
            <w:tcBorders>
              <w:top w:val="single" w:color="BFC6C8" w:sz="1"/>
              <w:left w:val="single" w:color="BFC6C8" w:sz="1"/>
              <w:bottom w:val="single" w:color="BFC6C8" w:sz="1"/>
              <w:right w:val="single" w:color="BFC6C8" w:sz="1"/>
            </w:tcBorders>
          </w:tcPr>
          <w:p>
            <w:r>
              <w:t xml:space="preserve">Visit window changes are among the most common procedural clarifications in the training set.</w:t>
            </w:r>
          </w:p>
        </w:tc>
        <w:tc>
          <w:tcPr>
            <w:tcW w:type="pct" w:w="33.33%"/>
            <w:gridSpan w:val="1"/>
            <w:tcBorders>
              <w:top w:val="single" w:color="BFC6C8" w:sz="1"/>
              <w:left w:val="single" w:color="BFC6C8" w:sz="1"/>
              <w:bottom w:val="single" w:color="BFC6C8" w:sz="1"/>
              <w:right w:val="single" w:color="BFC6C8" w:sz="1"/>
            </w:tcBorders>
          </w:tcPr>
          <w:p>
            <w:r>
              <w:t xml:space="preserve">Section 8.1. Schedule of Activities</w:t>
            </w:r>
          </w:p>
        </w:tc>
      </w:tr>
    </w:tbl>
    <w:p>
      <w:r>
        <w:br w:type="page"/>
      </w:r>
    </w:p>
    <w:p>
      <w:pPr>
        <w:spacing w:after="160" w:before="220"/>
      </w:pPr>
      <w:r>
        <w:rPr>
          <w:b/>
          <w:bCs/>
        </w:rPr>
        <w:t xml:space="preserve">Predicted Amendment 2 (~12-18 months post first patient enrolled)</w:t>
      </w:r>
    </w:p>
    <w:p>
      <w:pPr>
        <w:spacing w:after="180"/>
      </w:pPr>
      <w:r>
        <w:t xml:space="preserve">Overall Rationale for the Amendment: Historical Oncology Phase III amendments frequently address Eligibility Criteria, Safety Assessments, and Study Intervention. This predicted amendment groups global changes following the clarification patterns observed in the benchmark data, with an emphasis on safety and regulatory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
            <w:gridSpan w:val="1"/>
            <w:tcBorders>
              <w:top w:val="single" w:color="BFC6C8" w:sz="1"/>
              <w:left w:val="single" w:color="BFC6C8" w:sz="1"/>
              <w:bottom w:val="single" w:color="BFC6C8" w:sz="1"/>
              <w:right w:val="single" w:color="BFC6C8" w:sz="1"/>
            </w:tcBorders>
          </w:tcPr>
          <w:p>
            <w:r>
              <w:t xml:space="preserve">Description of Change</w:t>
            </w:r>
          </w:p>
        </w:tc>
        <w:tc>
          <w:tcPr>
            <w:tcW w:type="pct" w:w="33.33%"/>
            <w:gridSpan w:val="1"/>
            <w:tcBorders>
              <w:top w:val="single" w:color="BFC6C8" w:sz="1"/>
              <w:left w:val="single" w:color="BFC6C8" w:sz="1"/>
              <w:bottom w:val="single" w:color="BFC6C8" w:sz="1"/>
              <w:right w:val="single" w:color="BFC6C8" w:sz="1"/>
            </w:tcBorders>
          </w:tcPr>
          <w:p>
            <w:r>
              <w:t xml:space="preserve">Brief Rationale</w:t>
            </w:r>
          </w:p>
        </w:tc>
        <w:tc>
          <w:tcPr>
            <w:tcW w:type="pct" w:w="33.33%"/>
            <w:gridSpan w:val="1"/>
            <w:tcBorders>
              <w:top w:val="single" w:color="BFC6C8" w:sz="1"/>
              <w:left w:val="single" w:color="BFC6C8" w:sz="1"/>
              <w:bottom w:val="single" w:color="BFC6C8" w:sz="1"/>
              <w:right w:val="single" w:color="BFC6C8" w:sz="1"/>
            </w:tcBorders>
          </w:tcPr>
          <w:p>
            <w:r>
              <w:t xml:space="preserve">Section # and Name</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Substantial Modification(s)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Applicable to All Countries</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Study Assessments and Procedures</w:t>
            </w:r>
          </w:p>
          <w:p>
            <w:r>
              <w:t xml:space="preserve">5.2. Exclusion Criteria 9. Any medical or psychiatric condition including recent (within the past year) or active suicidal ideation/behavior or laboratory abnormality that may increase the risk of study participation or, in the investigator’s judgment, make the participant inappropriate for the study or any social situations that would limit study compliance. Add standardized administration, escalation, and documentation requirements for positive responses, including same-day safety follow-up.</w:t>
            </w:r>
          </w:p>
        </w:tc>
        <w:tc>
          <w:tcPr>
            <w:tcW w:type="pct" w:w="33.33%"/>
            <w:gridSpan w:val="1"/>
            <w:tcBorders>
              <w:top w:val="single" w:color="BFC6C8" w:sz="1"/>
              <w:left w:val="single" w:color="BFC6C8" w:sz="1"/>
              <w:bottom w:val="single" w:color="BFC6C8" w:sz="1"/>
              <w:right w:val="single" w:color="BFC6C8" w:sz="1"/>
            </w:tcBorders>
          </w:tcPr>
          <w:p>
            <w:r>
              <w:t xml:space="preserve">Safety assessment language is often expanded when structured suicide risk monitoring is included in the protocol.</w:t>
            </w:r>
          </w:p>
        </w:tc>
        <w:tc>
          <w:tcPr>
            <w:tcW w:type="pct" w:w="33.33%"/>
            <w:gridSpan w:val="1"/>
            <w:tcBorders>
              <w:top w:val="single" w:color="BFC6C8" w:sz="1"/>
              <w:left w:val="single" w:color="BFC6C8" w:sz="1"/>
              <w:bottom w:val="single" w:color="BFC6C8" w:sz="1"/>
              <w:right w:val="single" w:color="BFC6C8" w:sz="1"/>
            </w:tcBorders>
          </w:tcPr>
          <w:p>
            <w:r>
              <w:t xml:space="preserve">Section 8.3. Study Assessments and Procedures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Non-Substantial Modification(s)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Applicable to All Countries</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Study Intervention Administration</w:t>
            </w:r>
          </w:p>
          <w:p>
            <w:r>
              <w:t xml:space="preserve">ARV-471 will be administered as 100 mg tablets (dose level 100 mg or 200 mg QD) to participants. During the combination treatment period, participants will receive ARV-471 in combination with samuraciclib in 28-day cycles. In the DDI Assessment Cohort(s), participants will receive ARV-471 as monotherapy after samuraciclib monotherapy and before starting the 28-day cycle combination treatment period. ARV-471 will be administered orally, continuously on 28-day cycles according to the SoA. The participant should take ARV-471 in the morning with food, at approximately the same time. If a participant misses a day of treatment or vomits any time after taking a dose, the participant should not double-up, make up the dose, or make it up, but resume dosing on the next day of the dosing cycle as prescribed. If a participant inadvertently takes 1 extra dose during a single dosing day, the participant must inform the investigator; the investigator should contact the study medical monitor and closely monitor the participant for any AEs. Once Daily. Clarify dose interruption, reduction, and restart instructions using the protocol dose of 100 mg, including criteria for missed doses and toxicity management.</w:t>
            </w:r>
          </w:p>
        </w:tc>
        <w:tc>
          <w:tcPr>
            <w:tcW w:type="pct" w:w="33.33%"/>
            <w:gridSpan w:val="1"/>
            <w:tcBorders>
              <w:top w:val="single" w:color="BFC6C8" w:sz="1"/>
              <w:left w:val="single" w:color="BFC6C8" w:sz="1"/>
              <w:bottom w:val="single" w:color="BFC6C8" w:sz="1"/>
              <w:right w:val="single" w:color="BFC6C8" w:sz="1"/>
            </w:tcBorders>
          </w:tcPr>
          <w:p>
            <w:r>
              <w:t xml:space="preserve">Dose instruction amendments are frequently implemented after early execution experience or following feedback from health authorities.</w:t>
            </w:r>
          </w:p>
        </w:tc>
        <w:tc>
          <w:tcPr>
            <w:tcW w:type="pct" w:w="33.33%"/>
            <w:gridSpan w:val="1"/>
            <w:tcBorders>
              <w:top w:val="single" w:color="BFC6C8" w:sz="1"/>
              <w:left w:val="single" w:color="BFC6C8" w:sz="1"/>
              <w:bottom w:val="single" w:color="BFC6C8" w:sz="1"/>
              <w:right w:val="single" w:color="BFC6C8" w:sz="1"/>
            </w:tcBorders>
          </w:tcPr>
          <w:p>
            <w:r>
              <w:t xml:space="preserve">Section 6.1. Study Intervention Administration</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Exclusion Criteria</w:t>
            </w:r>
          </w:p>
          <w:p>
            <w:r>
              <w:t xml:space="preserve">Participants in visceral crisis at risk of life-threatening complications in the short term. Participants with active bleeding, history of hemolytic anemia or marrow aplasia. Participants with newly diagnosed or symptomatic brain metastases. Refractory nausea and vomiting and other gastrointestinal (GI) conditions precluding adequate absorption of study interventions. History of any other malignancies within the past three years, except for (1) adequately treated basal or squamous cell carcinoma of the skin and (2) curatively treated in situ carcinoma of the cervix. 5.2. Exclusion Criteria 1. Participants in visceral crisis at risk of life-threatening complications in the short term, including participants with massive uncontrolled effusions (pleural, pericardial, and/or peritoneal), pulmonary lymphangitis, and liver involvement 50%. Clarify required diagnostic confirmation, permitted exceptions, and any product-specific washout or safety restrictions.</w:t>
            </w:r>
          </w:p>
        </w:tc>
        <w:tc>
          <w:tcPr>
            <w:tcW w:type="pct" w:w="33.33%"/>
            <w:gridSpan w:val="1"/>
            <w:tcBorders>
              <w:top w:val="single" w:color="BFC6C8" w:sz="1"/>
              <w:left w:val="single" w:color="BFC6C8" w:sz="1"/>
              <w:bottom w:val="single" w:color="BFC6C8" w:sz="1"/>
              <w:right w:val="single" w:color="BFC6C8" w:sz="1"/>
            </w:tcBorders>
          </w:tcPr>
          <w:p>
            <w:r>
              <w:t xml:space="preserve">Historical exclusion criteria changes are typically regulator-driven clarifications that reduce screening ambiguity without altering the study objective.</w:t>
            </w:r>
          </w:p>
        </w:tc>
        <w:tc>
          <w:tcPr>
            <w:tcW w:type="pct" w:w="33.33%"/>
            <w:gridSpan w:val="1"/>
            <w:tcBorders>
              <w:top w:val="single" w:color="BFC6C8" w:sz="1"/>
              <w:left w:val="single" w:color="BFC6C8" w:sz="1"/>
              <w:bottom w:val="single" w:color="BFC6C8" w:sz="1"/>
              <w:right w:val="single" w:color="BFC6C8" w:sz="1"/>
            </w:tcBorders>
          </w:tcPr>
          <w:p>
            <w:r>
              <w:t xml:space="preserve">Section 5.2. Exclusion Criteria</w:t>
            </w:r>
          </w:p>
        </w:tc>
      </w:tr>
    </w:tbl>
    <w:p>
      <w:r>
        <w:br w:type="page"/>
      </w:r>
    </w:p>
    <w:p>
      <w:pPr>
        <w:spacing w:after="160" w:before="220"/>
      </w:pPr>
      <w:r>
        <w:rPr>
          <w:b/>
          <w:bCs/>
        </w:rPr>
        <w:t xml:space="preserve">Predicted Amendment 3 (~18-24 months post first patient enrolled)</w:t>
      </w:r>
    </w:p>
    <w:p>
      <w:pPr>
        <w:spacing w:after="180"/>
      </w:pPr>
      <w:r>
        <w:t xml:space="preserve">Overall Rationale for the Amendment: Historical Oncology Phase III amendments commonly address Administrative updates and Eligibility Criteria. This predicted amendment groups global changes following the clarification patterns observed in the benchmark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
            <w:gridSpan w:val="1"/>
            <w:tcBorders>
              <w:top w:val="single" w:color="BFC6C8" w:sz="1"/>
              <w:left w:val="single" w:color="BFC6C8" w:sz="1"/>
              <w:bottom w:val="single" w:color="BFC6C8" w:sz="1"/>
              <w:right w:val="single" w:color="BFC6C8" w:sz="1"/>
            </w:tcBorders>
          </w:tcPr>
          <w:p>
            <w:r>
              <w:t xml:space="preserve">Description of Change</w:t>
            </w:r>
          </w:p>
        </w:tc>
        <w:tc>
          <w:tcPr>
            <w:tcW w:type="pct" w:w="33.33%"/>
            <w:gridSpan w:val="1"/>
            <w:tcBorders>
              <w:top w:val="single" w:color="BFC6C8" w:sz="1"/>
              <w:left w:val="single" w:color="BFC6C8" w:sz="1"/>
              <w:bottom w:val="single" w:color="BFC6C8" w:sz="1"/>
              <w:right w:val="single" w:color="BFC6C8" w:sz="1"/>
            </w:tcBorders>
          </w:tcPr>
          <w:p>
            <w:r>
              <w:t xml:space="preserve">Brief Rationale</w:t>
            </w:r>
          </w:p>
        </w:tc>
        <w:tc>
          <w:tcPr>
            <w:tcW w:type="pct" w:w="33.33%"/>
            <w:gridSpan w:val="1"/>
            <w:tcBorders>
              <w:top w:val="single" w:color="BFC6C8" w:sz="1"/>
              <w:left w:val="single" w:color="BFC6C8" w:sz="1"/>
              <w:bottom w:val="single" w:color="BFC6C8" w:sz="1"/>
              <w:right w:val="single" w:color="BFC6C8" w:sz="1"/>
            </w:tcBorders>
          </w:tcPr>
          <w:p>
            <w:r>
              <w:t xml:space="preserve">Section # and Name</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Substantial Modification(s)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Applicable to All Countries</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Protocol Template Updates</w:t>
            </w:r>
          </w:p>
          <w:p>
            <w:r>
              <w:t xml:space="preserve">Update administrative references tied to Final Protocol Amendment 2, including document history, template wording, and internal cross-references that changed in the amendment package.</w:t>
            </w:r>
          </w:p>
        </w:tc>
        <w:tc>
          <w:tcPr>
            <w:tcW w:type="pct" w:w="33.33%"/>
            <w:gridSpan w:val="1"/>
            <w:tcBorders>
              <w:top w:val="single" w:color="BFC6C8" w:sz="1"/>
              <w:left w:val="single" w:color="BFC6C8" w:sz="1"/>
              <w:bottom w:val="single" w:color="BFC6C8" w:sz="1"/>
              <w:right w:val="single" w:color="BFC6C8" w:sz="1"/>
            </w:tcBorders>
          </w:tcPr>
          <w:p>
            <w:r>
              <w:t xml:space="preserve">Administrative updates are expected whenever the protocol template baseline shifts, even though they occur at a relatively low frequency.</w:t>
            </w:r>
          </w:p>
        </w:tc>
        <w:tc>
          <w:tcPr>
            <w:tcW w:type="pct" w:w="33.33%"/>
            <w:gridSpan w:val="1"/>
            <w:tcBorders>
              <w:top w:val="single" w:color="BFC6C8" w:sz="1"/>
              <w:left w:val="single" w:color="BFC6C8" w:sz="1"/>
              <w:bottom w:val="single" w:color="BFC6C8" w:sz="1"/>
              <w:right w:val="single" w:color="BFC6C8" w:sz="1"/>
            </w:tcBorders>
          </w:tcPr>
          <w:p>
            <w:r>
              <w:t xml:space="preserve">Section Multiple. Protocol Template Updates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Non-Substantial Modification(s)</w:t>
            </w:r>
          </w:p>
        </w:tc>
      </w:tr>
      <w:tr>
        <w:tc>
          <w:tcPr>
            <w:tcW w:type="pct" w:w="100%"/>
            <w:gridSpan w:val="3"/>
            <w:tcBorders>
              <w:top w:val="single" w:color="BFC6C8" w:sz="1"/>
              <w:left w:val="single" w:color="BFC6C8" w:sz="1"/>
              <w:bottom w:val="single" w:color="BFC6C8" w:sz="1"/>
              <w:right w:val="single" w:color="BFC6C8" w:sz="1"/>
            </w:tcBorders>
          </w:tcPr>
          <w:p>
            <w:r>
              <w:rPr>
                <w:b/>
                <w:bCs/>
              </w:rPr>
              <w:t xml:space="preserve">Applicable to All Countries</w:t>
            </w:r>
          </w:p>
        </w:tc>
      </w:tr>
      <w:tr>
        <w:tc>
          <w:tcPr>
            <w:tcW w:type="pct" w:w="33.33%"/>
            <w:gridSpan w:val="1"/>
            <w:tcBorders>
              <w:top w:val="single" w:color="BFC6C8" w:sz="1"/>
              <w:left w:val="single" w:color="BFC6C8" w:sz="1"/>
              <w:bottom w:val="single" w:color="BFC6C8" w:sz="1"/>
              <w:right w:val="single" w:color="BFC6C8" w:sz="1"/>
            </w:tcBorders>
          </w:tcPr>
          <w:p>
            <w:r>
              <w:rPr>
                <w:b/>
                <w:bCs/>
              </w:rPr>
              <w:t xml:space="preserve">Inclusion Criteria</w:t>
            </w:r>
          </w:p>
          <w:p>
            <w:r>
              <w:t xml:space="preserve">Participants must be patients with ER+/HER2- A/MBC, who have been previously treated with up to 2 lines of prior therapies for advanced/metastatic disease including 1 line of any prior CDK4/6 inhibitor-based regimen. The current A/MBC disease must have at least 1 measurable lesion as per RECIST v1.1. 5.1. Inclusion Criteria 1. Participants aged 18 years or older (or the minimum age of consent in accordance with local regulations) at screening. Refer to Appendix 4 for reproductive criteria for male (Section 10.4.1) and female (Section 10.4.4) participants. 5.1. Inclusion Criteria 3. Prior anticancer therapies: Phase 1b and DDI Assessment Cohort(s): Up to 2 lines of prior therapies for advanced/metastatic disease: ≤1 prior chemotherapy (no antibody-drug conjugates permitted). ≤2 prior endocrine-based therapies. No prior experimental endocrine therapy (eg, SERD, CERAN, PROTAC, SERCA) or elacestrant permitted. 1, and only 1, line of any prior CDK4/6 inhibitor-based regimen required (independent of the setting eg, adjuvant or advanced/metastatic). ARV-471 (PF-07850327) Participants must have documented objective disease progression while on or within 6 months after the end of the most recent therapy. Participants must have received an aromatase inhibitor in combination with a CDK4/6 inhibitor as the line of therapy preceding study entry for: Locally advanced or metastatic disease, participants must have received at least 6 months clinical benefit on this line of therapy to be eligible. Participants who received 6 months CDK4/6 inhibitor due to tolerability issues may still enter the study provided at least 6 months aromatase inhibitor was received. Adjuvant treatment, if the disease-free interval between initiation of endocrine therapy and first line treatment of locally advanced or metastatic disease was &gt;24 months. 5.1. Inclusion Criteria 4. Participants must have at least 1 measurable lesion as defined by RECIST v1.1. Participants with bone lesions only can be included if at least 1 bone lesion has a measurable component as for RECIST v1.1 (see Appendix 11). 5.1. Inclusion Criteria 5. ECOG PS ≤1, no deterioration over the previous 2 weeks. Clarify that this criterion must be satisfied at Screening and reconfirmed before randomization or first dose, as applicable.</w:t>
            </w:r>
          </w:p>
        </w:tc>
        <w:tc>
          <w:tcPr>
            <w:tcW w:type="pct" w:w="33.33%"/>
            <w:gridSpan w:val="1"/>
            <w:tcBorders>
              <w:top w:val="single" w:color="BFC6C8" w:sz="1"/>
              <w:left w:val="single" w:color="BFC6C8" w:sz="1"/>
              <w:bottom w:val="single" w:color="BFC6C8" w:sz="1"/>
              <w:right w:val="single" w:color="BFC6C8" w:sz="1"/>
            </w:tcBorders>
          </w:tcPr>
          <w:p>
            <w:r>
              <w:t xml:space="preserve">Eligibility criteria amendments commonly refine operational interpretation of entry criteria to support consistent screening and facilitate health authority review.</w:t>
            </w:r>
          </w:p>
        </w:tc>
        <w:tc>
          <w:tcPr>
            <w:tcW w:type="pct" w:w="33.33%"/>
            <w:gridSpan w:val="1"/>
            <w:tcBorders>
              <w:top w:val="single" w:color="BFC6C8" w:sz="1"/>
              <w:left w:val="single" w:color="BFC6C8" w:sz="1"/>
              <w:bottom w:val="single" w:color="BFC6C8" w:sz="1"/>
              <w:right w:val="single" w:color="BFC6C8" w:sz="1"/>
            </w:tcBorders>
          </w:tcPr>
          <w:p>
            <w:r>
              <w:t xml:space="preserve">Section 5.1. Inclusion Criteria</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PFIZER CONFIDENTIAL — AI-Generated Draft — For Clinical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2026-04-26T19:46:11.897Z</dcterms:created>
  <dcterms:modified xsi:type="dcterms:W3CDTF">2026-04-26T19:46:11.899Z</dcterms:modified>
</cp:coreProperties>
</file>

<file path=docProps/custom.xml><?xml version="1.0" encoding="utf-8"?>
<Properties xmlns="http://schemas.openxmlformats.org/officeDocument/2006/custom-properties" xmlns:vt="http://schemas.openxmlformats.org/officeDocument/2006/docPropsVTypes"/>
</file>