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rPr>
          <w:b/>
          <w:bCs/>
        </w:rPr>
        <w:t xml:space="preserve">PROTOCOL AMENDMENT INTELLIGENCE REPORT</w:t>
      </w:r>
    </w:p>
    <w:p>
      <w:pPr>
        <w:spacing w:after="220"/>
        <w:jc w:val="center"/>
      </w:pPr>
      <w:r>
        <w:t xml:space="preserve">AI Explainability &amp; Prediction Lineage</w:t>
      </w:r>
    </w:p>
    <w:p>
      <w:pPr>
        <w:spacing w:after="240"/>
      </w:pPr>
      <w:r>
        <w:t xml:space="preserve">C4891024 | Oncology | Ph 1b | Participants with ER+/HER2- advanced/metastatic breast cancer (A/MBC)</w:t>
      </w:r>
    </w:p>
    <w:p>
      <w:pPr>
        <w:pStyle w:val="Heading1"/>
      </w:pPr>
      <w:r>
        <w:t xml:space="preserve">1. Amendment Prediction Profile Summary</w:t>
      </w:r>
    </w:p>
    <w:p>
      <w:r>
        <w:t xml:space="preserve">Predicted amendment count: 3-3. Rounded from historical average 3.44 amendments per study across 9 training studies.</w:t>
      </w:r>
    </w:p>
    <w:p>
      <w:r>
        <w:t xml:space="preserve">Overall confidence: Medium. 9 Oncology Ph III training studies provide directionally reliable patterns for this prediction.</w:t>
      </w:r>
    </w:p>
    <w:p>
      <w:pPr>
        <w:pStyle w:val="Heading1"/>
      </w:pPr>
      <w:r>
        <w:t xml:space="preserve">2. Amendment Risk Matrix by USDM Entity</w:t>
      </w:r>
    </w:p>
    <w:p>
      <w:r>
        <w:t xml:space="preserve">StudyProcedure: 63% | High | Clarification | 63% of changes affect StudyProcedure. Primarily visit windows, assessment procedures, and Schedule of Activities clarifications.</w:t>
      </w:r>
    </w:p>
    <w:p>
      <w:r>
        <w:t xml:space="preserve">StudyIntervention: 11% | Medium | Clarification | 11% of changes affect StudyIntervention. Primarily administration, dose handling, and concomitant therapy clarifications.</w:t>
      </w:r>
    </w:p>
    <w:p>
      <w:r>
        <w:t xml:space="preserve">StudyEndpoint: 10% | Medium | Clarification | 10% of changes affect StudyEndpoint. Often endpoint definition clarifications or additions.</w:t>
      </w:r>
    </w:p>
    <w:p>
      <w:r>
        <w:t xml:space="preserve">EligibilityCriteria: 6% | Low-Medium | Clarification | 6% of changes affect EligibilityCriteria. Typically regulatory-driven clarifications to inclusion and exclusion criteria text.</w:t>
      </w:r>
    </w:p>
    <w:p>
      <w:r>
        <w:t xml:space="preserve">StudyPopulation: 5% | Low-Medium | Clarification | 5% of changes affect StudyPopulation. Population or enrollment clarifications informed by recruitment realities.</w:t>
      </w:r>
    </w:p>
    <w:p>
      <w:r>
        <w:t xml:space="preserve">SafetyAssessment: 2% | Low | Clarification | 2% of changes affect SafetyAssessment. Often safety monitoring additions driven by regulator or investigator brochure updates.</w:t>
      </w:r>
    </w:p>
    <w:p>
      <w:r>
        <w:t xml:space="preserve">StudyDesign: 1% | Low | Clarification | 1% of changes affect StudyDesign. Rare and usually limited to wording alignments or operational corrections.</w:t>
      </w:r>
    </w:p>
    <w:p>
      <w:r>
        <w:t xml:space="preserve">Administrative: 1% | Low | Clarification | 1% of changes affect Administrative. Administrative or template refresh changes to keep the protocol aligned with Pfizer standards.</w:t>
      </w:r>
    </w:p>
    <w:p>
      <w:pPr>
        <w:pStyle w:val="Heading1"/>
      </w:pPr>
      <w:r>
        <w:t xml:space="preserve">3. Prediction Provenance — Full Lineage per Change</w:t>
      </w:r>
    </w:p>
    <w:p>
      <w:pPr>
        <w:spacing w:before="160"/>
      </w:pPr>
      <w:r>
        <w:t xml:space="preserve">Amendment 1 | Change 1 | EU | EligibilityCriteria | Medium</w:t>
      </w:r>
    </w:p>
    <w:p>
      <w:r>
        <w:t xml:space="preserve">USDM Signal: exclusionCriteria — Participants in visceral crisis at risk of life-threatening complications in the short term. Participants with active bleeding, history of hemolytic anemia or marrow aplasia. Participants with newly diagnosed or symptomatic brain metastases. Refractory nausea and vomiting and other gastrointestinal (GI) conditions precluding adequate absorption of study interventions. History of any other malignancies within the past three years, except for (1) adequately treated basal or squamous cell carcinoma of the skin and (2) curatively treated in situ carcinoma of the cervix. 5.2. Exclusion Criteria 1. Participants in visceral crisis at risk of life-threatening complications in the short term, including participants with massive uncontrolled effusions (pleural, pericardial, and/or peritoneal), pulmonary lymphangitis, and liver involvement 50%.</w:t>
      </w:r>
    </w:p>
    <w:p>
      <w:r>
        <w:t xml:space="preserve">YAML Benchmark: Oncology.Ph_III.usdm_entity_rates.EligibilityCriteria = 0.06</w:t>
      </w:r>
    </w:p>
    <w:p>
      <w:r>
        <w:t xml:space="preserve">Training Evidence: B7981028 Amend 4 [Direct]; C1071007 Amend 2 [Direct]</w:t>
      </w:r>
    </w:p>
    <w:p>
      <w:r>
        <w:t xml:space="preserve">Corroboration: No corroborating signals from D1 or D2.</w:t>
      </w:r>
    </w:p>
    <w:p>
      <w:pPr>
        <w:spacing w:before="160"/>
      </w:pPr>
      <w:r>
        <w:t xml:space="preserve">Amendment 1 | Change 2 | Global | StudyIntervention | High</w:t>
      </w:r>
    </w:p>
    <w:p>
      <w:r>
        <w:t xml:space="preserve">USDM Signal: administrationInstructions — ARV-471 will be administered as 100 mg tablets (dose level 100 mg or 200 mg QD) to participants. During the combination treatment period, participants will receive ARV-471 in combination with samuraciclib in 28-day cycles. In the DDI Assessment Cohort(s), participants will receive ARV-471 as monotherapy after samuraciclib monotherapy and before starting the 28-day cycle combination treatment period. ARV-471 will be administered orally, continuously on 28-day cycles according to the SoA. The participant should take ARV-471 in the morning with food, at approximately the same time. If a participant misses a day of treatment or vomits any time after taking a dose, the participant should not double-up, make up the dose, or make it up, but resume dosing on the next day of the dosing cycle as prescribed. If a participant inadvertently takes 1 extra dose during a single dosing day, the participant must inform the investigator; the investigator should contact the study medical monitor and closely monitor the participant for any AEs. Oral Route of Administration Once Daily 100 mg QD; 200 mg QD</w:t>
      </w:r>
    </w:p>
    <w:p>
      <w:r>
        <w:t xml:space="preserve">YAML Benchmark: Oncology.Ph_III.usdm_entity_rates.StudyIntervention = 0.11</w:t>
      </w:r>
    </w:p>
    <w:p>
      <w:r>
        <w:t xml:space="preserve">Training Evidence: C2321014 Amend 2 [Direct]; C1071006 Amend 4 [Direct]</w:t>
      </w:r>
    </w:p>
    <w:p>
      <w:r>
        <w:t xml:space="preserve">Corroboration: No corroborating signals from D1 or D2.</w:t>
      </w:r>
    </w:p>
    <w:p>
      <w:pPr>
        <w:spacing w:before="160"/>
      </w:pPr>
      <w:r>
        <w:t xml:space="preserve">Amendment 1 | Change 3 | Global | StudyProcedure | High</w:t>
      </w:r>
    </w:p>
    <w:p>
      <w:r>
        <w:t xml:space="preserve">USDM Signal: visitWindow — Combination Treatment Phase 1 Cycle = 28 days Visits on Day 1 of every 2 cycles (1 cycle = 28 days). All assessments should be performed prior to study intervention administration, unless otherwise specified. Day 1 of every 2 cycles ±4d Post-Treatment Follow-up Follow up visit will be performed at least 28 days from last dose of study intervention OR prior to the initiation of any new anticancer therapy whichever comes first. The SAE reporting period is 28 days from last dose regardless of the initiation of a new anticancer therapy. At least 28 days from last dose of study intervention or prior to initiation of any new anticancer therapy, whichever comes first +7d</w:t>
      </w:r>
    </w:p>
    <w:p>
      <w:r>
        <w:t xml:space="preserve">YAML Benchmark: Oncology.Ph_III.usdm_entity_rates.StudyProcedure = 0.63</w:t>
      </w:r>
    </w:p>
    <w:p>
      <w:r>
        <w:t xml:space="preserve">Training Evidence: C4221016 Amend 4 [Direct]; C2321014 Amend 3 [Direct]</w:t>
      </w:r>
    </w:p>
    <w:p>
      <w:r>
        <w:t xml:space="preserve">Corroboration: No corroborating signals from D1 or D2.</w:t>
      </w:r>
    </w:p>
    <w:p>
      <w:pPr>
        <w:spacing w:before="160"/>
      </w:pPr>
      <w:r>
        <w:t xml:space="preserve">Amendment 2 | Change 1 | Global | SafetyAssessment | Medium</w:t>
      </w:r>
    </w:p>
    <w:p>
      <w:r>
        <w:t xml:space="preserve">USDM Signal: cssrsSpecification — 5.2. Exclusion Criteria 9. Any medical or psychiatric condition including recent (within the past year) or active suicidal ideation/behavior or laboratory abnormality that may increase the risk of study participation or, in the investigator’s judgment, make the participant inappropriate for the study or any social situations that would limit study compliance.</w:t>
      </w:r>
    </w:p>
    <w:p>
      <w:r>
        <w:t xml:space="preserve">YAML Benchmark: Oncology.Ph_III.usdm_entity_rates.SafetyAssessment = 0.02</w:t>
      </w:r>
    </w:p>
    <w:p>
      <w:r>
        <w:t xml:space="preserve">Training Evidence: C2321003 Amend 4 [Direct]; C4891001 Amend 1 [Indirect]</w:t>
      </w:r>
    </w:p>
    <w:p>
      <w:r>
        <w:t xml:space="preserve">Corroboration: No corroborating signals from D1 or D2.</w:t>
      </w:r>
    </w:p>
    <w:p>
      <w:pPr>
        <w:spacing w:before="160"/>
      </w:pPr>
      <w:r>
        <w:t xml:space="preserve">Amendment 2 | Change 2 | Global | StudyIntervention | High</w:t>
      </w:r>
    </w:p>
    <w:p>
      <w:r>
        <w:t xml:space="preserve">USDM Signal: dosageInstructions — ARV-471 will be administered as 100 mg tablets (dose level 100 mg or 200 mg QD) to participants. During the combination treatment period, participants will receive ARV-471 in combination with samuraciclib in 28-day cycles. In the DDI Assessment Cohort(s), participants will receive ARV-471 as monotherapy after samuraciclib monotherapy and before starting the 28-day cycle combination treatment period. ARV-471 will be administered orally, continuously on 28-day cycles according to the SoA. The participant should take ARV-471 in the morning with food, at approximately the same time. If a participant misses a day of treatment or vomits any time after taking a dose, the participant should not double-up, make up the dose, or make it up, but resume dosing on the next day of the dosing cycle as prescribed. If a participant inadvertently takes 1 extra dose during a single dosing day, the participant must inform the investigator; the investigator should contact the study medical monitor and closely monitor the participant for any AEs. Once Daily</w:t>
      </w:r>
    </w:p>
    <w:p>
      <w:r>
        <w:t xml:space="preserve">YAML Benchmark: Oncology.Ph_III.usdm_entity_rates.StudyIntervention = 0.11</w:t>
      </w:r>
    </w:p>
    <w:p>
      <w:r>
        <w:t xml:space="preserve">Training Evidence: C1071007 Amend 4 [Direct]; C4891002 Amend 1 [Direct]</w:t>
      </w:r>
    </w:p>
    <w:p>
      <w:r>
        <w:t xml:space="preserve">Corroboration: No corroborating signals from D1 or D2.</w:t>
      </w:r>
    </w:p>
    <w:p>
      <w:pPr>
        <w:spacing w:before="160"/>
      </w:pPr>
      <w:r>
        <w:t xml:space="preserve">Amendment 2 | Change 3 | Global | EligibilityCriteria | Medium</w:t>
      </w:r>
    </w:p>
    <w:p>
      <w:r>
        <w:t xml:space="preserve">USDM Signal: exclusionCriteria — Participants in visceral crisis at risk of life-threatening complications in the short term. Participants with active bleeding, history of hemolytic anemia or marrow aplasia. Participants with newly diagnosed or symptomatic brain metastases. Refractory nausea and vomiting and other gastrointestinal (GI) conditions precluding adequate absorption of study interventions. History of any other malignancies within the past three years, except for (1) adequately treated basal or squamous cell carcinoma of the skin and (2) curatively treated in situ carcinoma of the cervix. 5.2. Exclusion Criteria 1. Participants in visceral crisis at risk of life-threatening complications in the short term, including participants with massive uncontrolled effusions (pleural, pericardial, and/or peritoneal), pulmonary lymphangitis, and liver involvement 50%.</w:t>
      </w:r>
    </w:p>
    <w:p>
      <w:r>
        <w:t xml:space="preserve">YAML Benchmark: Oncology.Ph_III.usdm_entity_rates.EligibilityCriteria = 0.06</w:t>
      </w:r>
    </w:p>
    <w:p>
      <w:r>
        <w:t xml:space="preserve">Training Evidence: C1071007 Amend 4 [Direct]; C4891001 Amend 3 [Indirect]</w:t>
      </w:r>
    </w:p>
    <w:p>
      <w:r>
        <w:t xml:space="preserve">Corroboration: No corroborating signals from D1 or D2.</w:t>
      </w:r>
    </w:p>
    <w:p>
      <w:pPr>
        <w:spacing w:before="160"/>
      </w:pPr>
      <w:r>
        <w:t xml:space="preserve">Amendment 3 | Change 1 | Global | EligibilityCriteria | Medium</w:t>
      </w:r>
    </w:p>
    <w:p>
      <w:r>
        <w:t xml:space="preserve">USDM Signal: inclusionCriteria — Participants must be patients with ER+/HER2- A/MBC, who have been previously treated with up to 2 lines of prior therapies for advanced/metastatic disease including 1 line of any prior CDK4/6 inhibitor-based regimen. The current A/MBC disease must have at least 1 measurable lesion as per RECIST v1.1. 5.1. Inclusion Criteria 1. Participants aged 18 years or older (or the minimum age of consent in accordance with local regulations) at screening. Refer to Appendix 4 for reproductive criteria for male (Section 10.4.1) and female (Section 10.4.4) participants. 5.1. Inclusion Criteria 3. Prior anticancer therapies: Phase 1b and DDI Assessment Cohort(s): Up to 2 lines of prior therapies for advanced/metastatic disease: ≤1 prior chemotherapy (no antibody-drug conjugates permitted). ≤2 prior endocrine-based therapies. No prior experimental endocrine therapy (eg, SERD, CERAN, PROTAC, SERCA) or elacestrant permitted. 1, and only 1, line of any prior CDK4/6 inhibitor-based regimen required (independent of the setting eg, adjuvant or advanced/metastatic). ARV-471 (PF-07850327) Participants must have documented objective disease progression while on or within 6 months after the end of the most recent therapy. Participants must have received an aromatase inhibitor in combination with a CDK4/6 inhibitor as the line of therapy preceding study entry for: Locally advanced or metastatic disease, participants must have received at least 6 months clinical benefit on this line of therapy to be eligible. Participants who received 6 months CDK4/6 inhibitor due to tolerability issues may still enter the study provided at least 6 months aromatase inhibitor was received. Adjuvant treatment, if the disease-free interval between initiation of endocrine therapy and first line treatment of locally advanced or metastatic disease was &gt;24 months. 5.1. Inclusion Criteria 4. Participants must have at least 1 measurable lesion as defined by RECIST v1.1. Participants with bone lesions only can be included if at least 1 bone lesion has a measurable component as for RECIST v1.1 (see Appendix 11). 5.1. Inclusion Criteria 5. ECOG PS ≤1, no deterioration over the previous 2 weeks.</w:t>
      </w:r>
    </w:p>
    <w:p>
      <w:r>
        <w:t xml:space="preserve">YAML Benchmark: Oncology.Ph_III.usdm_entity_rates.EligibilityCriteria = 0.06</w:t>
      </w:r>
    </w:p>
    <w:p>
      <w:r>
        <w:t xml:space="preserve">Training Evidence: C4891001 Amend 3 [Direct]; C1071006 Amend 2 [Direct]</w:t>
      </w:r>
    </w:p>
    <w:p>
      <w:r>
        <w:t xml:space="preserve">Corroboration: No corroborating signals from D1 or D2.</w:t>
      </w:r>
    </w:p>
    <w:p>
      <w:pPr>
        <w:spacing w:before="160"/>
      </w:pPr>
      <w:r>
        <w:t xml:space="preserve">Amendment 3 | Change 2 | Global | Administrative | Medium</w:t>
      </w:r>
    </w:p>
    <w:p>
      <w:r>
        <w:t xml:space="preserve">USDM Signal: templateReference — Final Protocol Amendment 2</w:t>
      </w:r>
    </w:p>
    <w:p>
      <w:r>
        <w:t xml:space="preserve">YAML Benchmark: Oncology.Ph_III.usdm_entity_rates.Administrative = 0.01</w:t>
      </w:r>
    </w:p>
    <w:p>
      <w:r>
        <w:t xml:space="preserve">Training Evidence: C4891001 Amend 2 [Direct]; C1071007 Amend 2 [Indirect]</w:t>
      </w:r>
    </w:p>
    <w:p>
      <w:r>
        <w:t xml:space="preserve">Corroboration: No corroborating signals from D1 or D2.</w:t>
      </w:r>
    </w:p>
    <w:p>
      <w:pPr>
        <w:pStyle w:val="Heading1"/>
      </w:pPr>
      <w:r>
        <w:t xml:space="preserve">4. USDM Protocol Fingerprint</w:t>
      </w:r>
    </w:p>
    <w:p>
      <w:r>
        <w:t xml:space="preserve">EligibilityCriteria | exclusionCriteria | 5.2 | versions[0].studyDesigns[0].eligibilityCriteria[?criterionType='Exclusion']</w:t>
      </w:r>
    </w:p>
    <w:p>
      <w:r>
        <w:t xml:space="preserve">StudyIntervention | administrationInstructions | 6.1 | versions[0].studyInterventions[*].administrations[*]</w:t>
      </w:r>
    </w:p>
    <w:p>
      <w:r>
        <w:t xml:space="preserve">StudyProcedure | visitWindow | 8.1 | versions[0].studyDesigns[0].scheduleTimelines[*].timings[*]</w:t>
      </w:r>
    </w:p>
    <w:p>
      <w:r>
        <w:t xml:space="preserve">SafetyAssessment | cssrsSpecification | 8.3 | versions[0].narrativeContentItems[*].text</w:t>
      </w:r>
    </w:p>
    <w:p>
      <w:r>
        <w:t xml:space="preserve">StudyIntervention | dosageInstructions | 6.1 | versions[0].studyInterventions[*].administrations[*].dose</w:t>
      </w:r>
    </w:p>
    <w:p>
      <w:r>
        <w:t xml:space="preserve">EligibilityCriteria | exclusionCriteria | 5.2 | versions[0].studyDesigns[0].eligibilityCriteria[?criterionType='Exclusion']</w:t>
      </w:r>
    </w:p>
    <w:p>
      <w:r>
        <w:t xml:space="preserve">EligibilityCriteria | inclusionCriteria | 5.1 | versions[0].studyDesigns[0].eligibilityCriteria[?criterionType='Inclusion']</w:t>
      </w:r>
    </w:p>
    <w:p>
      <w:r>
        <w:t xml:space="preserve">Administrative | templateReference | Multiple | versions[0].versionIdentifier</w:t>
      </w:r>
    </w:p>
    <w:p>
      <w:pPr>
        <w:pStyle w:val="Heading1"/>
      </w:pPr>
      <w:r>
        <w:t xml:space="preserve">5. Cross-Deliverable Signal Map</w:t>
      </w:r>
    </w:p>
    <w:p>
      <w:r>
        <w:t xml:space="preserve">EligibilityCriteria: No corroborating signals from D1 or D2.</w:t>
      </w:r>
    </w:p>
    <w:p>
      <w:r>
        <w:t xml:space="preserve">StudyIntervention: No corroborating signals from D1 or D2.</w:t>
      </w:r>
    </w:p>
    <w:p>
      <w:r>
        <w:t xml:space="preserve">StudyProcedure: No corroborating signals from D1 or D2.</w:t>
      </w:r>
    </w:p>
    <w:p>
      <w:r>
        <w:t xml:space="preserve">SafetyAssessment: No corroborating signals from D1 or D2.</w:t>
      </w:r>
    </w:p>
    <w:p>
      <w:r>
        <w:t xml:space="preserve">StudyIntervention: No corroborating signals from D1 or D2.</w:t>
      </w:r>
    </w:p>
    <w:p>
      <w:r>
        <w:t xml:space="preserve">EligibilityCriteria: No corroborating signals from D1 or D2.</w:t>
      </w:r>
    </w:p>
    <w:p>
      <w:r>
        <w:t xml:space="preserve">EligibilityCriteria: No corroborating signals from D1 or D2.</w:t>
      </w:r>
    </w:p>
    <w:p>
      <w:r>
        <w:t xml:space="preserve">Administrative: No corroborating signals from D1 or D2.</w:t>
      </w:r>
    </w:p>
    <w:p>
      <w:pPr>
        <w:pStyle w:val="Heading1"/>
      </w:pPr>
      <w:r>
        <w:t xml:space="preserve">6. Sensitivity Analysis</w:t>
      </w:r>
    </w:p>
    <w:p>
      <w:r>
        <w:t xml:space="preserve">EligibilityCriteria: if exclusionCriteria were absent from the USDM, this change would lose its benchmark trigger.</w:t>
      </w:r>
    </w:p>
    <w:p>
      <w:r>
        <w:t xml:space="preserve">StudyIntervention: if administrationInstructions were absent from the USDM, this change would lose its benchmark trigger.</w:t>
      </w:r>
    </w:p>
    <w:p>
      <w:r>
        <w:t xml:space="preserve">StudyProcedure: if visitWindow were absent from the USDM, this change would lose its benchmark trigger.</w:t>
      </w:r>
    </w:p>
    <w:p>
      <w:r>
        <w:t xml:space="preserve">SafetyAssessment: if cssrsSpecification were absent from the USDM, this change would lose its benchmark trigger.</w:t>
      </w:r>
    </w:p>
    <w:p>
      <w:r>
        <w:t xml:space="preserve">StudyIntervention: if dosageInstructions were absent from the USDM, this change would lose its benchmark trigger.</w:t>
      </w:r>
    </w:p>
    <w:p>
      <w:r>
        <w:t xml:space="preserve">EligibilityCriteria: if exclusionCriteria were absent from the USDM, this change would lose its benchmark trigger.</w:t>
      </w:r>
    </w:p>
    <w:p>
      <w:r>
        <w:t xml:space="preserve">EligibilityCriteria: if inclusionCriteria were absent from the USDM, this change would lose its benchmark trigger.</w:t>
      </w:r>
    </w:p>
    <w:p>
      <w:r>
        <w:t xml:space="preserve">Administrative: if templateReference were absent from the USDM, this change would lose its benchmark trigger.</w:t>
      </w:r>
    </w:p>
    <w:p>
      <w:pPr>
        <w:pStyle w:val="Heading1"/>
      </w:pPr>
      <w:r>
        <w:t xml:space="preserve">7. Coverage Gaps</w:t>
      </w:r>
    </w:p>
    <w:p>
      <w:r>
        <w:t xml:space="preserve">v1 predictions cover Global and major market country-specific changes (EU, China). Minor market country-specific changes remain out of scope.</w:t>
      </w:r>
    </w:p>
    <w:p>
      <w:r>
        <w:t xml:space="preserve">Minor markets, live operational execution fixes, and compound-specific clinical judgments remain outside automated v1 coverage.</w:t>
      </w:r>
    </w:p>
    <w:p>
      <w:pPr>
        <w:pStyle w:val="Heading1"/>
      </w:pPr>
      <w:r>
        <w:t xml:space="preserve">8. Visualization Data Guide</w:t>
      </w:r>
    </w:p>
    <w:p>
      <w:r>
        <w:t xml:space="preserve">Use predictedAmendments[*].predictedChanges[*].lineage for provenance trees.</w:t>
      </w:r>
    </w:p>
    <w:p>
      <w:r>
        <w:t xml:space="preserve">Use amendmentRiskMatrix[*] for risk heat maps.</w:t>
      </w:r>
    </w:p>
    <w:p>
      <w:r>
        <w:t xml:space="preserve">Use aggregated corroborating_signals for cross-deliverable overlays.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2026-04-26T19:46:12.041Z</dcterms:created>
  <dcterms:modified xsi:type="dcterms:W3CDTF">2026-04-26T19:46:12.041Z</dcterms:modified>
</cp:coreProperties>
</file>

<file path=docProps/custom.xml><?xml version="1.0" encoding="utf-8"?>
<Properties xmlns="http://schemas.openxmlformats.org/officeDocument/2006/custom-properties" xmlns:vt="http://schemas.openxmlformats.org/officeDocument/2006/docPropsVTypes"/>
</file>