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03087"/>
          </w:tcPr>
          <w:p>
            <w:r>
              <w:rPr>
                <w:b/>
                <w:i w:val="0"/>
                <w:color w:val="FFFFFF"/>
                <w:sz w:val="22"/>
              </w:rPr>
              <w:t>PFIZER PROTOCOL INTELLIGENCE PLATFORM</w:t>
            </w:r>
          </w:p>
          <w:p>
            <w:pPr>
              <w:spacing w:before="40"/>
            </w:pPr>
          </w:p>
          <w:p>
            <w:r>
              <w:rPr>
                <w:b/>
                <w:i w:val="0"/>
                <w:color w:val="FFFFFF"/>
                <w:sz w:val="22"/>
              </w:rPr>
              <w:t>PIPD Generator — Eval Report</w:t>
            </w:r>
          </w:p>
          <w:p>
            <w:pPr>
              <w:spacing w:before="40"/>
            </w:pPr>
          </w:p>
          <w:p>
            <w:r>
              <w:rPr>
                <w:b/>
                <w:i w:val="0"/>
                <w:color w:val="FFFFFF"/>
                <w:sz w:val="22"/>
              </w:rPr>
              <w:t>C4891002 — Phase 3, Randomized, Open-Label Study of Vepdegestrant (ARV-471) Plus Palbo…</w:t>
            </w:r>
          </w:p>
          <w:p>
            <w:pPr>
              <w:spacing w:before="40"/>
            </w:pPr>
          </w:p>
          <w:p>
            <w:r>
              <w:rPr>
                <w:b w:val="0"/>
                <w:i/>
                <w:color w:val="FFFFFF"/>
                <w:sz w:val="20"/>
              </w:rPr>
              <w:t>Eval date: 2026-04-17  |  Generator: v1.0  |  Config: pipd_eval_config.yaml</w:t>
            </w:r>
          </w:p>
          <w:p>
            <w:pPr>
              <w:spacing w:before="40"/>
            </w:pPr>
          </w:p>
        </w:tc>
      </w:tr>
    </w:tbl>
    <w:p/>
    <w:p>
      <w:pPr>
        <w:spacing w:before="200" w:after="80"/>
      </w:pPr>
      <w:r>
        <w:rPr>
          <w:b/>
          <w:sz w:val="22"/>
        </w:rPr>
        <w:t>DOCUMENT SCORE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D9E2F3"/>
          </w:tcPr>
          <w:p>
            <w:r>
              <w:rPr>
                <w:b/>
                <w:sz w:val="22"/>
                <w:color w:val="003087"/>
              </w:rPr>
              <w:t>DOCUMENT SCORE</w:t>
            </w:r>
          </w:p>
          <w:p>
            <w:r>
              <w:rPr>
                <w:sz w:val="18"/>
                <w:color w:val="003087"/>
              </w:rPr>
              <w:t>Oncology / Ph 3</w:t>
            </w:r>
          </w:p>
        </w:tc>
        <w:tc>
          <w:tcPr>
            <w:tcW w:type="dxa" w:w="2160"/>
            <w:shd w:fill="EEF7F1"/>
          </w:tcPr>
          <w:p>
            <w:r>
              <w:rPr>
                <w:b/>
                <w:sz w:val="56"/>
                <w:color w:val="186A5A"/>
              </w:rPr>
              <w:t>12.1</w:t>
            </w:r>
          </w:p>
          <w:p>
            <w:r>
              <w:rPr>
                <w:sz w:val="18"/>
                <w:color w:val="555555"/>
              </w:rPr>
              <w:t>/ 100</w:t>
            </w:r>
          </w:p>
          <w:p>
            <w:r>
              <w:rPr>
                <w:i/>
                <w:sz w:val="16"/>
                <w:color w:val="555555"/>
              </w:rPr>
              <w:t>Scenario 1 — headline uses F1 with recall guardrail.</w:t>
            </w:r>
          </w:p>
        </w:tc>
        <w:tc>
          <w:tcPr>
            <w:tcW w:type="dxa" w:w="2880"/>
          </w:tcPr>
          <w:p>
            <w:r>
              <w:rPr>
                <w:b/>
                <w:sz w:val="24"/>
                <w:color w:val="C0392B"/>
              </w:rPr>
              <w:t>FAIL ✗</w:t>
            </w:r>
          </w:p>
          <w:p>
            <w:r>
              <w:rPr>
                <w:sz w:val="18"/>
                <w:color w:val="555555"/>
              </w:rPr>
              <w:t>Threshold: 70</w:t>
            </w:r>
          </w:p>
          <w:p>
            <w:r>
              <w:rPr>
                <w:sz w:val="18"/>
                <w:color w:val="555555"/>
              </w:rPr>
              <w:t>Target: 75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Top-line Retrieval Metrics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Metric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What it measures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Current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Recall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Did it find the right subcategories?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15.5%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Precision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Did it avoid making things up?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9.9%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F1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Balanced summary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12.1%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1. Summary Metrics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600"/>
            <w:shd w:fill="D9E2F3"/>
          </w:tcPr>
          <w:p>
            <w:r>
              <w:rPr>
                <w:rFonts w:ascii="Arial" w:hAnsi="Arial"/>
                <w:b/>
                <w:sz w:val="18"/>
              </w:rPr>
              <w:t>Metric</w:t>
            </w:r>
          </w:p>
        </w:tc>
        <w:tc>
          <w:tcPr>
            <w:tcW w:type="dxa" w:w="1181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1037"/>
            <w:shd w:fill="D9E2F3"/>
          </w:tcPr>
          <w:p>
            <w:r>
              <w:rPr>
                <w:rFonts w:ascii="Arial" w:hAnsi="Arial"/>
                <w:b/>
                <w:sz w:val="18"/>
              </w:rPr>
              <w:t>Target</w:t>
            </w:r>
          </w:p>
        </w:tc>
        <w:tc>
          <w:tcPr>
            <w:tcW w:type="dxa" w:w="1224"/>
            <w:shd w:fill="D9E2F3"/>
          </w:tcPr>
          <w:p>
            <w:r>
              <w:rPr>
                <w:rFonts w:ascii="Arial" w:hAnsi="Arial"/>
                <w:b/>
                <w:sz w:val="18"/>
              </w:rPr>
              <w:t>Pass/Fail</w:t>
            </w:r>
          </w:p>
        </w:tc>
        <w:tc>
          <w:tcPr>
            <w:tcW w:type="dxa" w:w="2088"/>
            <w:shd w:fill="D9E2F3"/>
          </w:tcPr>
          <w:p>
            <w:r>
              <w:rPr>
                <w:rFonts w:ascii="Arial" w:hAnsi="Arial"/>
                <w:b/>
                <w:sz w:val="18"/>
              </w:rPr>
              <w:t>Source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M1 Retrieval (F1 headline) (C4891002)</w:t>
            </w:r>
          </w:p>
        </w:tc>
        <w:tc>
          <w:tcPr>
            <w:tcW w:type="dxa" w:w="1181"/>
          </w:tcPr>
          <w:p>
            <w:r>
              <w:rPr>
                <w:rFonts w:ascii="Arial" w:hAnsi="Arial"/>
                <w:sz w:val="18"/>
              </w:rPr>
              <w:t>12% *(R=16%, P=10%)*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F1 70% + Recall 75%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8"/>
              </w:rPr>
              <w:t>FAIL ✗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8"/>
              </w:rPr>
              <w:t>pipd_ground_truth_clean.csv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M2 YES/NO Flag Accuracy</w:t>
            </w:r>
          </w:p>
        </w:tc>
        <w:tc>
          <w:tcPr>
            <w:tcW w:type="dxa" w:w="1181"/>
          </w:tcPr>
          <w:p>
            <w:r>
              <w:rPr>
                <w:rFonts w:ascii="Arial" w:hAnsi="Arial"/>
                <w:sz w:val="18"/>
              </w:rPr>
              <w:t>100%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90%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8"/>
              </w:rPr>
              <w:t>PASS ✓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8"/>
              </w:rPr>
              <w:t>pipd_ground_truth_clean.csv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M3 Empty Category Accuracy</w:t>
            </w:r>
          </w:p>
        </w:tc>
        <w:tc>
          <w:tcPr>
            <w:tcW w:type="dxa" w:w="1181"/>
          </w:tcPr>
          <w:p>
            <w:r>
              <w:rPr>
                <w:rFonts w:ascii="Arial" w:hAnsi="Arial"/>
                <w:sz w:val="18"/>
              </w:rPr>
              <w:t>55%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80%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8"/>
              </w:rPr>
              <w:t>FAIL ✗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8"/>
              </w:rPr>
              <w:t>pipd_ground_truth_clean.csv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M4 Hallucination rate (separate from recall)</w:t>
            </w:r>
          </w:p>
        </w:tc>
        <w:tc>
          <w:tcPr>
            <w:tcW w:type="dxa" w:w="1181"/>
          </w:tcPr>
          <w:p>
            <w:r>
              <w:rPr>
                <w:rFonts w:ascii="Arial" w:hAnsi="Arial"/>
                <w:sz w:val="18"/>
              </w:rPr>
              <w:t>14.8% (9/61)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&lt;= 20.0%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sz w:val="18"/>
              </w:rPr>
              <w:t>PASS ✓</w:t>
            </w:r>
          </w:p>
        </w:tc>
        <w:tc>
          <w:tcPr>
            <w:tcW w:type="dxa" w:w="2088"/>
          </w:tcPr>
          <w:p>
            <w:r>
              <w:rPr>
                <w:rFonts w:ascii="Arial" w:hAnsi="Arial"/>
                <w:sz w:val="18"/>
              </w:rPr>
              <w:t>extras as precision risk</w:t>
            </w:r>
          </w:p>
        </w:tc>
      </w:tr>
    </w:tbl>
    <w:p/>
    <w:p>
      <w:r>
        <w:rPr>
          <w:i/>
        </w:rPr>
        <w:t xml:space="preserve">“Extra” in the scorecard / detail tables means a </w:t>
      </w:r>
      <w:r>
        <w:rPr>
          <w:b/>
          <w:i/>
        </w:rPr>
        <w:t>generated</w:t>
      </w:r>
      <w:r>
        <w:rPr>
          <w:i/>
        </w:rPr>
        <w:t xml:space="preserve"> subcategory line not present in ground truth for that category (same items as M1 `hallucinated_subcats`). </w:t>
      </w:r>
      <w:r>
        <w:rPr>
          <w:b/>
          <w:i/>
        </w:rPr>
        <w:t>M4</w:t>
      </w:r>
      <w:r>
        <w:rPr>
          <w:i/>
        </w:rPr>
        <w:t xml:space="preserve"> counts only </w:t>
      </w:r>
      <w:r>
        <w:rPr>
          <w:b/>
          <w:i/>
        </w:rPr>
        <w:t>auto_confirmed</w:t>
      </w:r>
      <w:r>
        <w:rPr>
          <w:i/>
        </w:rPr>
        <w:t xml:space="preserve"> rows with missing/bad </w:t>
      </w:r>
      <w:r>
        <w:rPr>
          <w:b/>
          <w:i/>
        </w:rPr>
        <w:t>usdm_entity_id</w:t>
      </w:r>
      <w:r>
        <w:rPr>
          <w:i/>
        </w:rPr>
        <w:t xml:space="preserve"> — not the M1 extras count.</w:t>
      </w:r>
    </w:p>
    <w:p>
      <w:pPr>
        <w:spacing w:before="200" w:after="80"/>
      </w:pPr>
      <w:r>
        <w:rPr>
          <w:b/>
          <w:sz w:val="22"/>
        </w:rPr>
        <w:t>2. Category Scorecard</w:t>
      </w:r>
    </w:p>
    <w:p>
      <w:pPr>
        <w:ind w:left="360"/>
      </w:pPr>
      <w:r>
        <w:rPr>
          <w:b/>
          <w:i w:val="0"/>
        </w:rPr>
        <w:t>Weight</w:t>
      </w:r>
      <w:r>
        <w:rPr>
          <w:i w:val="0"/>
        </w:rPr>
        <w:t xml:space="preserve"> = (GT subcats in category ÷ total GT subcats) × 100 — max document points this category can contribute (e.g. Cat 1 = 52.50, Cat 11 = 27.50 when those are the shares). </w:t>
      </w:r>
      <w:r>
        <w:rPr>
          <w:b/>
          <w:i w:val="0"/>
        </w:rPr>
        <w:t>Weighted</w:t>
      </w:r>
      <w:r>
        <w:rPr>
          <w:i w:val="0"/>
        </w:rPr>
        <w:t xml:space="preserve"> = weight × category score ÷ 100 — actual document points earned. </w:t>
      </w:r>
      <w:r>
        <w:rPr>
          <w:b/>
          <w:i w:val="0"/>
        </w:rPr>
        <w:t>net</w:t>
      </w:r>
      <w:r>
        <w:rPr>
          <w:i w:val="0"/>
        </w:rPr>
        <w:t xml:space="preserve"> = verbatim × 1.0 + numbering_error near-misses × 0.90 + truncation near-misses × 0.50; misses × 0; extras × 0 (extras increase </w:t>
      </w:r>
      <w:r>
        <w:rPr>
          <w:b/>
          <w:i w:val="0"/>
        </w:rPr>
        <w:t>generated_count</w:t>
      </w:r>
      <w:r>
        <w:rPr>
          <w:i w:val="0"/>
        </w:rPr>
        <w:t xml:space="preserve"> only, pulling precision down). </w:t>
      </w:r>
      <w:r>
        <w:rPr>
          <w:b/>
          <w:i w:val="0"/>
        </w:rPr>
        <w:t>precision</w:t>
      </w:r>
      <w:r>
        <w:rPr>
          <w:i w:val="0"/>
        </w:rPr>
        <w:t xml:space="preserve"> = net ÷ generated_count · </w:t>
      </w:r>
      <w:r>
        <w:rPr>
          <w:b/>
          <w:i w:val="0"/>
        </w:rPr>
        <w:t>recall</w:t>
      </w:r>
      <w:r>
        <w:rPr>
          <w:i w:val="0"/>
        </w:rPr>
        <w:t xml:space="preserve"> = net ÷ gt_count · </w:t>
      </w:r>
      <w:r>
        <w:rPr>
          <w:b/>
          <w:i w:val="0"/>
        </w:rPr>
        <w:t>Score</w:t>
      </w:r>
      <w:r>
        <w:rPr>
          <w:i w:val="0"/>
        </w:rPr>
        <w:t xml:space="preserve"> = F1(precision, recall) × 100. Empty-GT categories: M3 rules; weight —. </w:t>
      </w:r>
      <w:r>
        <w:rPr>
          <w:b/>
          <w:i w:val="0"/>
        </w:rPr>
        <w:t>Subcats</w:t>
      </w:r>
      <w:r>
        <w:rPr>
          <w:i w:val="0"/>
        </w:rPr>
        <w:t xml:space="preserve"> = pass/GT (verbatim + near-miss pairs vs GT count). </w:t>
      </w:r>
      <w:r>
        <w:rPr>
          <w:b/>
          <w:i w:val="0"/>
        </w:rPr>
        <w:t>Status</w:t>
      </w:r>
      <w:r>
        <w:rPr>
          <w:i w:val="0"/>
        </w:rPr>
        <w:t xml:space="preserve"> = short match/miss/extra summary.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2808"/>
            <w:shd w:fill="D9E2F3"/>
          </w:tcPr>
          <w:p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893"/>
            <w:shd w:fill="D9E2F3"/>
          </w:tcPr>
          <w:p>
            <w:r>
              <w:rPr>
                <w:rFonts w:ascii="Arial" w:hAnsi="Arial"/>
                <w:b/>
                <w:sz w:val="18"/>
              </w:rPr>
              <w:t>Weight</w:t>
            </w:r>
          </w:p>
        </w:tc>
        <w:tc>
          <w:tcPr>
            <w:tcW w:type="dxa" w:w="893"/>
            <w:shd w:fill="D9E2F3"/>
          </w:tcPr>
          <w:p>
            <w:r>
              <w:rPr>
                <w:rFonts w:ascii="Arial" w:hAnsi="Arial"/>
                <w:b/>
                <w:sz w:val="18"/>
              </w:rPr>
              <w:t>Weighted</w:t>
            </w:r>
          </w:p>
        </w:tc>
        <w:tc>
          <w:tcPr>
            <w:tcW w:type="dxa" w:w="1037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792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Subcats</w:t>
            </w:r>
          </w:p>
        </w:tc>
        <w:tc>
          <w:tcPr>
            <w:tcW w:type="dxa" w:w="2664"/>
            <w:shd w:fill="D9E2F3"/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1. Inclusion/Exclusion Criteria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56.41%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4.17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7.4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3/22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1 verbatim, 2 near miss, 19 misses, 2 extra (precision risk) — see Section 3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2. Investigational Product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7.69%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0.00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0.0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0/3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3 misses, 6 extra (precision risk) — see Section 3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3. Concomitant Medications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2.56%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0.00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0.0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1/1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1 near miss, 3 extra (precision risk) — see Section 3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4. Labs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0.00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0.0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none_identified mismatch — see Section 3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5. Visit Schedule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0.00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0.0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none_identified mismatch — see Section 3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6. Procedures and Tests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0.00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0.0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none_identified mismatch — see Section 3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7. Randomization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2.56%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0.00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0.0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1/1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1 near miss, 4 extra (precision risk) — see Section 3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8. Safety Reporting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0.00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0.0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none_identified mismatch — see Section 3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9. Discontinuation Criteria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2.56%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0.00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0.0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1/1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1 near miss, 4 extra (precision risk) — see Section 3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10. Other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0.00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0.0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none_identified mismatch — see Section 3</w:t>
            </w:r>
          </w:p>
        </w:tc>
      </w:tr>
      <w:tr>
        <w:tc>
          <w:tcPr>
            <w:tcW w:type="dxa" w:w="2808"/>
          </w:tcPr>
          <w:p>
            <w:r>
              <w:rPr>
                <w:rFonts w:ascii="Arial" w:hAnsi="Arial"/>
                <w:sz w:val="18"/>
              </w:rPr>
              <w:t>Cat 11. Informed Consent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28.21%</w:t>
            </w:r>
          </w:p>
        </w:tc>
        <w:tc>
          <w:tcPr>
            <w:tcW w:type="dxa" w:w="893"/>
          </w:tcPr>
          <w:p>
            <w:r>
              <w:rPr>
                <w:rFonts w:ascii="Arial" w:hAnsi="Arial"/>
                <w:sz w:val="18"/>
              </w:rPr>
              <w:t>0.00</w:t>
            </w:r>
          </w:p>
        </w:tc>
        <w:tc>
          <w:tcPr>
            <w:tcW w:type="dxa" w:w="1037"/>
          </w:tcPr>
          <w:p>
            <w:r>
              <w:rPr>
                <w:rFonts w:ascii="Arial" w:hAnsi="Arial"/>
                <w:sz w:val="18"/>
              </w:rPr>
              <w:t>0.0 / 100</w:t>
            </w:r>
          </w:p>
        </w:tc>
        <w:tc>
          <w:tcPr>
            <w:tcW w:type="dxa" w:w="792"/>
          </w:tcPr>
          <w:p>
            <w:r>
              <w:rPr>
                <w:rFonts w:ascii="Arial" w:hAnsi="Arial"/>
                <w:sz w:val="18"/>
              </w:rPr>
              <w:t>6/11</w:t>
            </w:r>
          </w:p>
        </w:tc>
        <w:tc>
          <w:tcPr>
            <w:tcW w:type="dxa" w:w="2664"/>
          </w:tcPr>
          <w:p>
            <w:r>
              <w:rPr>
                <w:rFonts w:ascii="Arial" w:hAnsi="Arial"/>
                <w:sz w:val="18"/>
              </w:rPr>
              <w:t>6 near miss, 5 misses, 1 extra (precision risk) — see Section 3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3. Category Detail</w:t>
      </w:r>
    </w:p>
    <w:p>
      <w:pPr>
        <w:ind w:left="360"/>
      </w:pPr>
      <w:r>
        <w:rPr>
          <w:b/>
          <w:i w:val="0"/>
        </w:rPr>
        <w:t>⚠ EMPTY CATEGORIES GENERATED</w:t>
      </w:r>
      <w:r>
        <w:rPr>
          <w:i w:val="0"/>
        </w:rPr>
        <w:t xml:space="preserve"> — GT has no subcategories for this protocol, but generator produced them:</w:t>
      </w:r>
    </w:p>
    <w:p>
      <w:pPr>
        <w:ind w:left="360"/>
      </w:pPr>
      <w:r>
        <w:rPr>
          <w:i w:val="0"/>
        </w:rPr>
        <w:t>- Cat 4. Labs (7 generated extra subcategory(ies))</w:t>
      </w:r>
    </w:p>
    <w:p>
      <w:pPr>
        <w:ind w:left="360"/>
      </w:pPr>
      <w:r>
        <w:rPr>
          <w:i w:val="0"/>
        </w:rPr>
        <w:t>- Cat 5. Visit Schedule (5 generated extra subcategory(ies))</w:t>
      </w:r>
    </w:p>
    <w:p>
      <w:pPr>
        <w:ind w:left="360"/>
      </w:pPr>
      <w:r>
        <w:rPr>
          <w:i w:val="0"/>
        </w:rPr>
        <w:t>- Cat 6. Procedures and Tests (6 generated extra subcategory(ies))</w:t>
      </w:r>
    </w:p>
    <w:p>
      <w:pPr>
        <w:ind w:left="360"/>
      </w:pPr>
      <w:r>
        <w:rPr>
          <w:i w:val="0"/>
        </w:rPr>
        <w:t>- Cat 8. Safety Reporting (5 generated extra subcategory(ies))</w:t>
      </w:r>
    </w:p>
    <w:p>
      <w:pPr>
        <w:ind w:left="360"/>
      </w:pPr>
      <w:r>
        <w:rPr>
          <w:i w:val="0"/>
        </w:rPr>
        <w:t>- Cat 10. Other (6 generated extra subcategory(ies))</w:t>
      </w:r>
    </w:p>
    <w:p>
      <w:pPr>
        <w:spacing w:before="200" w:after="80"/>
      </w:pPr>
      <w:r>
        <w:rPr>
          <w:b/>
          <w:sz w:val="22"/>
        </w:rPr>
        <w:t>Category 1 — Category 1</w:t>
      </w:r>
    </w:p>
    <w:p>
      <w:r>
        <w:rPr>
          <w:i/>
        </w:rPr>
        <w:t xml:space="preserve">USDM column: </w:t>
      </w:r>
      <w:r>
        <w:rPr>
          <w:b/>
          <w:i/>
        </w:rPr>
        <w:t>✓</w:t>
      </w:r>
      <w:r>
        <w:rPr>
          <w:i/>
        </w:rPr>
        <w:t xml:space="preserve"> = entity id in protocol · </w:t>
      </w:r>
      <w:r>
        <w:rPr>
          <w:b/>
          <w:i/>
        </w:rPr>
        <w:t>~</w:t>
      </w:r>
      <w:r>
        <w:rPr>
          <w:i/>
        </w:rPr>
        <w:t xml:space="preserve"> = type / weak ref · </w:t>
      </w:r>
      <w:r>
        <w:rPr>
          <w:b/>
          <w:i/>
        </w:rPr>
        <w:t>✗</w:t>
      </w:r>
      <w:r>
        <w:rPr>
          <w:i/>
        </w:rPr>
        <w:t xml:space="preserve"> = not resolvable · </w:t>
      </w:r>
      <w:r>
        <w:rPr>
          <w:b/>
          <w:i/>
        </w:rPr>
        <w:t>—</w:t>
      </w:r>
      <w:r>
        <w:rPr>
          <w:i/>
        </w:rPr>
        <w:t xml:space="preserve"> = exempt. Includes </w:t>
      </w:r>
      <w:r>
        <w:rPr>
          <w:b/>
          <w:i/>
        </w:rPr>
        <w:t>USDM class</w:t>
      </w:r>
      <w:r>
        <w:rPr>
          <w:i/>
        </w:rPr>
        <w:t xml:space="preserve"> (`usdm_entity` / `instanceType`) plus protocol source path when resolved.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Subcategory text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YES/NO</w:t>
            </w:r>
          </w:p>
        </w:tc>
        <w:tc>
          <w:tcPr>
            <w:tcW w:type="dxa" w:w="1512"/>
            <w:shd w:fill="D9E2F3"/>
          </w:tcPr>
          <w:p>
            <w:r>
              <w:rPr>
                <w:rFonts w:ascii="Arial" w:hAnsi="Arial"/>
                <w:b/>
                <w:sz w:val="18"/>
              </w:rPr>
              <w:t>USDM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Conf.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Pending Site Monitor Action Inc/Excl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100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Verbatim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`EligibilityCriterion`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met all eligibility criteria but source documentation is incomplete or missing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`EligibilityCriterion`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met all eligibility criteria but was randomized prior to assessment of all eligibility criteria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`EligibilityCriterion`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Near Miss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Generated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Ground Truth (Actual)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Participant did not meet one or more inclusion criteria but was randomized to the study treatment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Subject did not meet inclusion criteria 6 [ECOG performance status less than or equal to 2.]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Participant met one or more exclusion criteria but was randomized to the study treatment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Subject met exclusion criteria 8 [Any unresolved toxicities from prior surgeries or therapies or other toxicities as per protocol.]</w:t>
            </w:r>
          </w:p>
        </w:tc>
      </w:tr>
    </w:tbl>
    <w:p/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Phase 3 only-Subject not meet inclusion criteria 2 [Pts to comply with SoA visits, assessments/procedures. a. Mandatory blood and tumor at diagnosis of local adv met aBC. If not, de novo biopsy needed. Tumor at initial diagnosis accepted if bone mets only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did not meet inclusion criteria 1 [Participants aged 18 years or older (or the minimum age of consent in accordance with local regulations) at screening.]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did not meet inclusion criteria 4 [No prior systemic anti-cancer therapy for their locoregionally advanced or metastatic disease.]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did not meet inclusion criteria 5 [At least 1 measurable lesion as defined by RECIST v1.1. Bone only disease: participants with only non-measurable lesions are eligible.]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didnot meet inclusion criteria 3 [Local advanced/metastatic BC not amenable to surgery or radiotherapy with curative intent. BC to be ER(+)≥1%,HER2(-)]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1 [Other medical, psychiatric cond. include recent suicidal idea, behavior, abnormal lab that may increase risk of study participation or investigator’s judgment, make participant inappropriate for study.]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10 [Hematologic abnormalities as defined in protocol.]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11 [Renal impairment as defined in protocol.]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12 [Hepatic dysfunction as defined in protocol.]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13 [Known active infection including SARS-CoV-2, HBV, HCV, and HIV or AIDS- related illness, as defined in protocol.]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14 [Refractory nausea &amp; vomiting, chronic GI disease, GI ulcer, GI bleeding, inability to swallow study drugs, prior significant gastric, bowel resection preventing adequate absorption of study drugs.]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15 [Site staff directly involved in conduct of study and family members, site otherwise supervised by investigator, sponsor and delegate employees directly involved in conduct of study and family members.]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2 [History of any other tumor malignancies within the past 3 years as per protocol. Participants with inflammatory BC and HSCT are excluded.]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3 [Participants with newly diagnosed/symptomatic CNS mets, carcinomatous meningitis,or leptomeningeal disease. Exception are detailed in the study protocol.]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4 [Pts in visceral crisis at risk of immediate life-threatening complications including pts with massive uncontrolled pleural/pericardial/peritoneal effusion, pulmonary lymphangitis, liver involvement above 50%.]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5 [Impaired cardiovascular function or clinically significant cardiovascular diseases as defined in protocol.]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6 [Relapse while on or within 12 months ofcompleting standard adjuvant ET. CDK4/6i, ARV-471, fulvestrant, and other investigational agents (including novel ET, any SERDs, SERCAs, CERANs) in any setting.]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7 [Major Surgery, RT or systemic therapy for BC ≤ 14 days pre- randomization. Pts with prior RT ≥25% of BM are not eligible.]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 met exclusion criteria 9 [Concurrent administration of drugs, food and herbal supplement that are strong CYP3A inhibitors or inducers.] — not generated.</w:t>
      </w:r>
    </w:p>
    <w:p>
      <w:pPr>
        <w:spacing w:before="200" w:after="80"/>
      </w:pPr>
      <w:r>
        <w:rPr>
          <w:b/>
          <w:sz w:val="22"/>
        </w:rPr>
        <w:t>Category 2 — Category 2</w:t>
      </w:r>
    </w:p>
    <w:p>
      <w:r>
        <w:rPr>
          <w:i/>
        </w:rPr>
        <w:t xml:space="preserve">USDM column: </w:t>
      </w:r>
      <w:r>
        <w:rPr>
          <w:b/>
          <w:i/>
        </w:rPr>
        <w:t>✓</w:t>
      </w:r>
      <w:r>
        <w:rPr>
          <w:i/>
        </w:rPr>
        <w:t xml:space="preserve"> = entity id in protocol · </w:t>
      </w:r>
      <w:r>
        <w:rPr>
          <w:b/>
          <w:i/>
        </w:rPr>
        <w:t>~</w:t>
      </w:r>
      <w:r>
        <w:rPr>
          <w:i/>
        </w:rPr>
        <w:t xml:space="preserve"> = type / weak ref · </w:t>
      </w:r>
      <w:r>
        <w:rPr>
          <w:b/>
          <w:i/>
        </w:rPr>
        <w:t>✗</w:t>
      </w:r>
      <w:r>
        <w:rPr>
          <w:i/>
        </w:rPr>
        <w:t xml:space="preserve"> = not resolvable · </w:t>
      </w:r>
      <w:r>
        <w:rPr>
          <w:b/>
          <w:i/>
        </w:rPr>
        <w:t>—</w:t>
      </w:r>
      <w:r>
        <w:rPr>
          <w:i/>
        </w:rPr>
        <w:t xml:space="preserve"> = exempt. Includes </w:t>
      </w:r>
      <w:r>
        <w:rPr>
          <w:b/>
          <w:i/>
        </w:rPr>
        <w:t>USDM class</w:t>
      </w:r>
      <w:r>
        <w:rPr>
          <w:i/>
        </w:rPr>
        <w:t xml:space="preserve"> (`usdm_entity` / `instanceType`) plus protocol source path when resolved.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Subcategory text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YES/NO</w:t>
            </w:r>
          </w:p>
        </w:tc>
        <w:tc>
          <w:tcPr>
            <w:tcW w:type="dxa" w:w="1512"/>
            <w:shd w:fill="D9E2F3"/>
          </w:tcPr>
          <w:p>
            <w:r>
              <w:rPr>
                <w:rFonts w:ascii="Arial" w:hAnsi="Arial"/>
                <w:b/>
                <w:sz w:val="18"/>
              </w:rPr>
              <w:t>USDM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Conf.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Dosing/Administration error for vepdegestrant, palbociclib, letrozole, or LHRH agonist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`StudyIntervention`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Required LHRH agonist not administered to pre-/peri-menopausal female or male participant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`EligibilityCriterion`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Storage error/temperature excursion. IP administered to participant without Sponsor approval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`StudyIntervention`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Study drug not held despite AE that required dose to be held per protocol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`StudyIntervention`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Study drug not reduced as per protocol for toxicity (e.g., palbociclib or vepdegestrant)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`StudyIntervention`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Subject received wrong treatment (e.g., randomized to Arm A but received letrozole, or Arm B but received vepdegestrant)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`StudyIntervention`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</w:tbl>
    <w:p/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Blind compromised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DOSING error: underdose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Dosing error: overdose. — not generated.</w:t>
      </w:r>
    </w:p>
    <w:p>
      <w:pPr>
        <w:spacing w:before="200" w:after="80"/>
      </w:pPr>
      <w:r>
        <w:rPr>
          <w:b/>
          <w:sz w:val="22"/>
        </w:rPr>
        <w:t>Category 3 — Category 3</w:t>
      </w:r>
    </w:p>
    <w:p>
      <w:r>
        <w:rPr>
          <w:i/>
        </w:rPr>
        <w:t xml:space="preserve">USDM column: </w:t>
      </w:r>
      <w:r>
        <w:rPr>
          <w:b/>
          <w:i/>
        </w:rPr>
        <w:t>✓</w:t>
      </w:r>
      <w:r>
        <w:rPr>
          <w:i/>
        </w:rPr>
        <w:t xml:space="preserve"> = entity id in protocol · </w:t>
      </w:r>
      <w:r>
        <w:rPr>
          <w:b/>
          <w:i/>
        </w:rPr>
        <w:t>~</w:t>
      </w:r>
      <w:r>
        <w:rPr>
          <w:i/>
        </w:rPr>
        <w:t xml:space="preserve"> = type / weak ref · </w:t>
      </w:r>
      <w:r>
        <w:rPr>
          <w:b/>
          <w:i/>
        </w:rPr>
        <w:t>✗</w:t>
      </w:r>
      <w:r>
        <w:rPr>
          <w:i/>
        </w:rPr>
        <w:t xml:space="preserve"> = not resolvable · </w:t>
      </w:r>
      <w:r>
        <w:rPr>
          <w:b/>
          <w:i/>
        </w:rPr>
        <w:t>—</w:t>
      </w:r>
      <w:r>
        <w:rPr>
          <w:i/>
        </w:rPr>
        <w:t xml:space="preserve"> = exempt. Includes </w:t>
      </w:r>
      <w:r>
        <w:rPr>
          <w:b/>
          <w:i/>
        </w:rPr>
        <w:t>USDM class</w:t>
      </w:r>
      <w:r>
        <w:rPr>
          <w:i/>
        </w:rPr>
        <w:t xml:space="preserve"> (`usdm_entity` / `instanceType`) plus protocol source path when resolved.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Subcategory text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YES/NO</w:t>
            </w:r>
          </w:p>
        </w:tc>
        <w:tc>
          <w:tcPr>
            <w:tcW w:type="dxa" w:w="1512"/>
            <w:shd w:fill="D9E2F3"/>
          </w:tcPr>
          <w:p>
            <w:r>
              <w:rPr>
                <w:rFonts w:ascii="Arial" w:hAnsi="Arial"/>
                <w:b/>
                <w:sz w:val="18"/>
              </w:rPr>
              <w:t>USDM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Conf.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Mandatory concomitant medication (LHRH agonist for pre-/peri-menopausal female and male participants) not taken/administered or not used as specified per protocol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`EligibilityCriterion`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received prohibited concurrent systemic anti-cancer therapy or radiotherapy during the study drug treatment period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`EligibilityCriterion`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took prohibited concomitant medication (e.g., strong CYP3A inhibitors or inducers) during the study treatment period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`EligibilityCriterion`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Near Miss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Generated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Ground Truth (Actual)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Participant took permitted concomitant medication, but not as specified per protocol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Took prohibited concomitant medication/vaccine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Category 4 — Category 4</w:t>
      </w:r>
    </w:p>
    <w:p>
      <w:r>
        <w:rPr>
          <w:i/>
        </w:rPr>
        <w:t xml:space="preserve">USDM column: </w:t>
      </w:r>
      <w:r>
        <w:rPr>
          <w:b/>
          <w:i/>
        </w:rPr>
        <w:t>✓</w:t>
      </w:r>
      <w:r>
        <w:rPr>
          <w:i/>
        </w:rPr>
        <w:t xml:space="preserve"> = entity id in protocol · </w:t>
      </w:r>
      <w:r>
        <w:rPr>
          <w:b/>
          <w:i/>
        </w:rPr>
        <w:t>~</w:t>
      </w:r>
      <w:r>
        <w:rPr>
          <w:i/>
        </w:rPr>
        <w:t xml:space="preserve"> = type / weak ref · </w:t>
      </w:r>
      <w:r>
        <w:rPr>
          <w:b/>
          <w:i/>
        </w:rPr>
        <w:t>✗</w:t>
      </w:r>
      <w:r>
        <w:rPr>
          <w:i/>
        </w:rPr>
        <w:t xml:space="preserve"> = not resolvable · </w:t>
      </w:r>
      <w:r>
        <w:rPr>
          <w:b/>
          <w:i/>
        </w:rPr>
        <w:t>—</w:t>
      </w:r>
      <w:r>
        <w:rPr>
          <w:i/>
        </w:rPr>
        <w:t xml:space="preserve"> = exempt. Includes </w:t>
      </w:r>
      <w:r>
        <w:rPr>
          <w:b/>
          <w:i/>
        </w:rPr>
        <w:t>USDM class</w:t>
      </w:r>
      <w:r>
        <w:rPr>
          <w:i/>
        </w:rPr>
        <w:t xml:space="preserve"> (`usdm_entity` / `instanceType`) plus protocol source path when resolved.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Subcategory text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YES/NO</w:t>
            </w:r>
          </w:p>
        </w:tc>
        <w:tc>
          <w:tcPr>
            <w:tcW w:type="dxa" w:w="1512"/>
            <w:shd w:fill="D9E2F3"/>
          </w:tcPr>
          <w:p>
            <w:r>
              <w:rPr>
                <w:rFonts w:ascii="Arial" w:hAnsi="Arial"/>
                <w:b/>
                <w:sz w:val="18"/>
              </w:rPr>
              <w:t>USDM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Conf.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Abnormal lab result (e.g., Grade 4 neutropenia, hepatic dysfunction) not followed up appropriately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`Endpoint`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Blood samples for vepdegestrant PK, palbociclib PK, or pharmacodynamics not done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Blood samples for vepdegestrant PK, palbociclib PK, or pharmacodynamics not properly collected, stored or handled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Clinical laboratory results were not reviewed by an Investigator in a timely manner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Critical safety labs required for dosing decisions (e.g., ANC, PLT, ALT, AST, Bilirubin) not done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`EligibilityCriterion`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Study participant dosed without required pregnancy test done for WOCBP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Tumor tissue for biomarkers or ctDNA blood samples not collected per protocol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Category 5 — Category 5</w:t>
      </w:r>
    </w:p>
    <w:p>
      <w:r>
        <w:rPr>
          <w:i/>
        </w:rPr>
        <w:t xml:space="preserve">USDM column: </w:t>
      </w:r>
      <w:r>
        <w:rPr>
          <w:b/>
          <w:i/>
        </w:rPr>
        <w:t>✓</w:t>
      </w:r>
      <w:r>
        <w:rPr>
          <w:i/>
        </w:rPr>
        <w:t xml:space="preserve"> = entity id in protocol · </w:t>
      </w:r>
      <w:r>
        <w:rPr>
          <w:b/>
          <w:i/>
        </w:rPr>
        <w:t>~</w:t>
      </w:r>
      <w:r>
        <w:rPr>
          <w:i/>
        </w:rPr>
        <w:t xml:space="preserve"> = type / weak ref · </w:t>
      </w:r>
      <w:r>
        <w:rPr>
          <w:b/>
          <w:i/>
        </w:rPr>
        <w:t>✗</w:t>
      </w:r>
      <w:r>
        <w:rPr>
          <w:i/>
        </w:rPr>
        <w:t xml:space="preserve"> = not resolvable · </w:t>
      </w:r>
      <w:r>
        <w:rPr>
          <w:b/>
          <w:i/>
        </w:rPr>
        <w:t>—</w:t>
      </w:r>
      <w:r>
        <w:rPr>
          <w:i/>
        </w:rPr>
        <w:t xml:space="preserve"> = exempt. Includes </w:t>
      </w:r>
      <w:r>
        <w:rPr>
          <w:b/>
          <w:i/>
        </w:rPr>
        <w:t>USDM class</w:t>
      </w:r>
      <w:r>
        <w:rPr>
          <w:i/>
        </w:rPr>
        <w:t xml:space="preserve"> (`usdm_entity` / `instanceType`) plus protocol source path when resolved.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Subcategory text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YES/NO</w:t>
            </w:r>
          </w:p>
        </w:tc>
        <w:tc>
          <w:tcPr>
            <w:tcW w:type="dxa" w:w="1512"/>
            <w:shd w:fill="D9E2F3"/>
          </w:tcPr>
          <w:p>
            <w:r>
              <w:rPr>
                <w:rFonts w:ascii="Arial" w:hAnsi="Arial"/>
                <w:b/>
                <w:sz w:val="18"/>
              </w:rPr>
              <w:t>USDM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Conf.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Active Treatment Phase visit (e.g., Cycle 1 Day 15, Cycle 2 Day 1) conducted outside the protocol-specified window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`Encounter`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Safety Follow-up, Long Term Follow-up, or Survival Follow-up visit conducted outside the protocol-specified window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`Encounter`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Screening visit completed outside the protocol-specified window of ≤ 28 days prior to randomization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`Encounter`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Visit not done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`Encounter`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Visit not performed per protocol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`Encounter`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Category 6 — Category 6</w:t>
      </w:r>
    </w:p>
    <w:p>
      <w:r>
        <w:rPr>
          <w:i/>
        </w:rPr>
        <w:t xml:space="preserve">USDM column: </w:t>
      </w:r>
      <w:r>
        <w:rPr>
          <w:b/>
          <w:i/>
        </w:rPr>
        <w:t>✓</w:t>
      </w:r>
      <w:r>
        <w:rPr>
          <w:i/>
        </w:rPr>
        <w:t xml:space="preserve"> = entity id in protocol · </w:t>
      </w:r>
      <w:r>
        <w:rPr>
          <w:b/>
          <w:i/>
        </w:rPr>
        <w:t>~</w:t>
      </w:r>
      <w:r>
        <w:rPr>
          <w:i/>
        </w:rPr>
        <w:t xml:space="preserve"> = type / weak ref · </w:t>
      </w:r>
      <w:r>
        <w:rPr>
          <w:b/>
          <w:i/>
        </w:rPr>
        <w:t>✗</w:t>
      </w:r>
      <w:r>
        <w:rPr>
          <w:i/>
        </w:rPr>
        <w:t xml:space="preserve"> = not resolvable · </w:t>
      </w:r>
      <w:r>
        <w:rPr>
          <w:b/>
          <w:i/>
        </w:rPr>
        <w:t>—</w:t>
      </w:r>
      <w:r>
        <w:rPr>
          <w:i/>
        </w:rPr>
        <w:t xml:space="preserve"> = exempt. Includes </w:t>
      </w:r>
      <w:r>
        <w:rPr>
          <w:b/>
          <w:i/>
        </w:rPr>
        <w:t>USDM class</w:t>
      </w:r>
      <w:r>
        <w:rPr>
          <w:i/>
        </w:rPr>
        <w:t xml:space="preserve"> (`usdm_entity` / `instanceType`) plus protocol source path when resolved.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Subcategory text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YES/NO</w:t>
            </w:r>
          </w:p>
        </w:tc>
        <w:tc>
          <w:tcPr>
            <w:tcW w:type="dxa" w:w="1512"/>
            <w:shd w:fill="D9E2F3"/>
          </w:tcPr>
          <w:p>
            <w:r>
              <w:rPr>
                <w:rFonts w:ascii="Arial" w:hAnsi="Arial"/>
                <w:b/>
                <w:sz w:val="18"/>
              </w:rPr>
              <w:t>USDM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Conf.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12-Lead ECG not performed per protocol, impacting safety monitoring for QTcF prolongation.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Disease assessment (tumor imaging or bone scan) not performed, incomplete, or performed out of window, impacting the primary endpoint of PFS by BICR.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`Endpoint`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Patient-Reported Outcomes (EQ-5D-5L, EORTC QLQ-C30, EORTC QLQ-BR23) not completed per protocol.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Pharmacokinetic (PK) blood samples for vepdegestrant or palbociclib not collected or collected incorrectly.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Procedures for contraception counseling or contraception requirements not followed for IOCBP or male participants.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`EligibilityCriterion`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Required tumor tissue or blood sample for biomarkers (e.g., ctDNA) not collected at diagnosis or de novo biopsy not performed for Phase 3 participants.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`EligibilityCriterion`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Category 7 — Category 7</w:t>
      </w:r>
    </w:p>
    <w:p>
      <w:r>
        <w:rPr>
          <w:i/>
        </w:rPr>
        <w:t xml:space="preserve">USDM column: </w:t>
      </w:r>
      <w:r>
        <w:rPr>
          <w:b/>
          <w:i/>
        </w:rPr>
        <w:t>✓</w:t>
      </w:r>
      <w:r>
        <w:rPr>
          <w:i/>
        </w:rPr>
        <w:t xml:space="preserve"> = entity id in protocol · </w:t>
      </w:r>
      <w:r>
        <w:rPr>
          <w:b/>
          <w:i/>
        </w:rPr>
        <w:t>~</w:t>
      </w:r>
      <w:r>
        <w:rPr>
          <w:i/>
        </w:rPr>
        <w:t xml:space="preserve"> = type / weak ref · </w:t>
      </w:r>
      <w:r>
        <w:rPr>
          <w:b/>
          <w:i/>
        </w:rPr>
        <w:t>✗</w:t>
      </w:r>
      <w:r>
        <w:rPr>
          <w:i/>
        </w:rPr>
        <w:t xml:space="preserve"> = not resolvable · </w:t>
      </w:r>
      <w:r>
        <w:rPr>
          <w:b/>
          <w:i/>
        </w:rPr>
        <w:t>—</w:t>
      </w:r>
      <w:r>
        <w:rPr>
          <w:i/>
        </w:rPr>
        <w:t xml:space="preserve"> = exempt. Includes </w:t>
      </w:r>
      <w:r>
        <w:rPr>
          <w:b/>
          <w:i/>
        </w:rPr>
        <w:t>USDM class</w:t>
      </w:r>
      <w:r>
        <w:rPr>
          <w:i/>
        </w:rPr>
        <w:t xml:space="preserve"> (`usdm_entity` / `instanceType`) plus protocol source path when resolved.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Subcategory text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YES/NO</w:t>
            </w:r>
          </w:p>
        </w:tc>
        <w:tc>
          <w:tcPr>
            <w:tcW w:type="dxa" w:w="1512"/>
            <w:shd w:fill="D9E2F3"/>
          </w:tcPr>
          <w:p>
            <w:r>
              <w:rPr>
                <w:rFonts w:ascii="Arial" w:hAnsi="Arial"/>
                <w:b/>
                <w:sz w:val="18"/>
              </w:rPr>
              <w:t>USDM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Conf.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didn't receive the drugs they were randomized to (e.g., assigned to Vepdegestrant + Palbociclib but received Letrozole + Palbociclib)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`StudyIntervention`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randomized in IRT in error despite not meeting eligibility criteria or being a screen failure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randomized out of protocol defined window (e.g., &gt;28 days after start of screening)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`Encounter`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randomized prior to completion of all required screening assessments (e.g., tumor biopsy or baseline scans)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Near Miss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Generated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Ground Truth (Actual)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Participant randomized under wrong stratification factors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Randomized under wrong stratification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Category 8 — Category 8</w:t>
      </w:r>
    </w:p>
    <w:p>
      <w:r>
        <w:rPr>
          <w:i/>
        </w:rPr>
        <w:t xml:space="preserve">USDM column: </w:t>
      </w:r>
      <w:r>
        <w:rPr>
          <w:b/>
          <w:i/>
        </w:rPr>
        <w:t>✓</w:t>
      </w:r>
      <w:r>
        <w:rPr>
          <w:i/>
        </w:rPr>
        <w:t xml:space="preserve"> = entity id in protocol · </w:t>
      </w:r>
      <w:r>
        <w:rPr>
          <w:b/>
          <w:i/>
        </w:rPr>
        <w:t>~</w:t>
      </w:r>
      <w:r>
        <w:rPr>
          <w:i/>
        </w:rPr>
        <w:t xml:space="preserve"> = type / weak ref · </w:t>
      </w:r>
      <w:r>
        <w:rPr>
          <w:b/>
          <w:i/>
        </w:rPr>
        <w:t>✗</w:t>
      </w:r>
      <w:r>
        <w:rPr>
          <w:i/>
        </w:rPr>
        <w:t xml:space="preserve"> = not resolvable · </w:t>
      </w:r>
      <w:r>
        <w:rPr>
          <w:b/>
          <w:i/>
        </w:rPr>
        <w:t>—</w:t>
      </w:r>
      <w:r>
        <w:rPr>
          <w:i/>
        </w:rPr>
        <w:t xml:space="preserve"> = exempt. Includes </w:t>
      </w:r>
      <w:r>
        <w:rPr>
          <w:b/>
          <w:i/>
        </w:rPr>
        <w:t>USDM class</w:t>
      </w:r>
      <w:r>
        <w:rPr>
          <w:i/>
        </w:rPr>
        <w:t xml:space="preserve"> (`usdm_entity` / `instanceType`) plus protocol source path when resolved.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Subcategory text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YES/NO</w:t>
            </w:r>
          </w:p>
        </w:tc>
        <w:tc>
          <w:tcPr>
            <w:tcW w:type="dxa" w:w="1512"/>
            <w:shd w:fill="D9E2F3"/>
          </w:tcPr>
          <w:p>
            <w:r>
              <w:rPr>
                <w:rFonts w:ascii="Arial" w:hAnsi="Arial"/>
                <w:b/>
                <w:sz w:val="18"/>
              </w:rPr>
              <w:t>USDM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Conf.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Adverse event (including protocol-specified events of interest such as Grade 4 neutropenia) was not recorded in the clinical database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`Endpoint`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Clinically significant laboratory or ECG abnormality was not reported as an adverse event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`Endpoint`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SAE Not reported by investigator to Ethics Committee / IRB per local regulations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SAE/EIU not reported to Sponsor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SAE/EIU not reported to Sponsor within specified timeframe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Category 9 — Category 9</w:t>
      </w:r>
    </w:p>
    <w:p>
      <w:r>
        <w:rPr>
          <w:i/>
        </w:rPr>
        <w:t xml:space="preserve">USDM column: </w:t>
      </w:r>
      <w:r>
        <w:rPr>
          <w:b/>
          <w:i/>
        </w:rPr>
        <w:t>✓</w:t>
      </w:r>
      <w:r>
        <w:rPr>
          <w:i/>
        </w:rPr>
        <w:t xml:space="preserve"> = entity id in protocol · </w:t>
      </w:r>
      <w:r>
        <w:rPr>
          <w:b/>
          <w:i/>
        </w:rPr>
        <w:t>~</w:t>
      </w:r>
      <w:r>
        <w:rPr>
          <w:i/>
        </w:rPr>
        <w:t xml:space="preserve"> = type / weak ref · </w:t>
      </w:r>
      <w:r>
        <w:rPr>
          <w:b/>
          <w:i/>
        </w:rPr>
        <w:t>✗</w:t>
      </w:r>
      <w:r>
        <w:rPr>
          <w:i/>
        </w:rPr>
        <w:t xml:space="preserve"> = not resolvable · </w:t>
      </w:r>
      <w:r>
        <w:rPr>
          <w:b/>
          <w:i/>
        </w:rPr>
        <w:t>—</w:t>
      </w:r>
      <w:r>
        <w:rPr>
          <w:i/>
        </w:rPr>
        <w:t xml:space="preserve"> = exempt. Includes </w:t>
      </w:r>
      <w:r>
        <w:rPr>
          <w:b/>
          <w:i/>
        </w:rPr>
        <w:t>USDM class</w:t>
      </w:r>
      <w:r>
        <w:rPr>
          <w:i/>
        </w:rPr>
        <w:t xml:space="preserve"> (`usdm_entity` / `instanceType`) plus protocol source path when resolved.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Subcategory text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YES/NO</w:t>
            </w:r>
          </w:p>
        </w:tc>
        <w:tc>
          <w:tcPr>
            <w:tcW w:type="dxa" w:w="1512"/>
            <w:shd w:fill="D9E2F3"/>
          </w:tcPr>
          <w:p>
            <w:r>
              <w:rPr>
                <w:rFonts w:ascii="Arial" w:hAnsi="Arial"/>
                <w:b/>
                <w:sz w:val="18"/>
              </w:rPr>
              <w:t>USDM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Conf.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became pregnant during the study but study treatment was not discontinued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`EligibilityCriterion`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met protocol-specified criteria for study treatment discontinuation (e.g., objective disease progression per RECIST v1.1, unacceptable toxicity) but study treatment was not discontinued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`StudyIntervention`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✓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started a new anti-cancer therapy but study treatment was not discontinued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`Estimand`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withdrew consent but continued to receive study treatment or undergo study procedures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`Estimand`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Near Miss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Generated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Ground Truth (Actual)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Participant was discontinued from study treatment or the study but did not meet any protocol-specified discontinuation criteria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Participant developed withdrawal criteria during the study but was not withdrawn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Category 10 — Category 10</w:t>
      </w:r>
    </w:p>
    <w:p>
      <w:r>
        <w:rPr>
          <w:i/>
        </w:rPr>
        <w:t xml:space="preserve">USDM column: </w:t>
      </w:r>
      <w:r>
        <w:rPr>
          <w:b/>
          <w:i/>
        </w:rPr>
        <w:t>✓</w:t>
      </w:r>
      <w:r>
        <w:rPr>
          <w:i/>
        </w:rPr>
        <w:t xml:space="preserve"> = entity id in protocol · </w:t>
      </w:r>
      <w:r>
        <w:rPr>
          <w:b/>
          <w:i/>
        </w:rPr>
        <w:t>~</w:t>
      </w:r>
      <w:r>
        <w:rPr>
          <w:i/>
        </w:rPr>
        <w:t xml:space="preserve"> = type / weak ref · </w:t>
      </w:r>
      <w:r>
        <w:rPr>
          <w:b/>
          <w:i/>
        </w:rPr>
        <w:t>✗</w:t>
      </w:r>
      <w:r>
        <w:rPr>
          <w:i/>
        </w:rPr>
        <w:t xml:space="preserve"> = not resolvable · </w:t>
      </w:r>
      <w:r>
        <w:rPr>
          <w:b/>
          <w:i/>
        </w:rPr>
        <w:t>—</w:t>
      </w:r>
      <w:r>
        <w:rPr>
          <w:i/>
        </w:rPr>
        <w:t xml:space="preserve"> = exempt. Includes </w:t>
      </w:r>
      <w:r>
        <w:rPr>
          <w:b/>
          <w:i/>
        </w:rPr>
        <w:t>USDM class</w:t>
      </w:r>
      <w:r>
        <w:rPr>
          <w:i/>
        </w:rPr>
        <w:t xml:space="preserve"> (`usdm_entity` / `instanceType`) plus protocol source path when resolved.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Subcategory text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YES/NO</w:t>
            </w:r>
          </w:p>
        </w:tc>
        <w:tc>
          <w:tcPr>
            <w:tcW w:type="dxa" w:w="1512"/>
            <w:shd w:fill="D9E2F3"/>
          </w:tcPr>
          <w:p>
            <w:r>
              <w:rPr>
                <w:rFonts w:ascii="Arial" w:hAnsi="Arial"/>
                <w:b/>
                <w:sz w:val="18"/>
              </w:rPr>
              <w:t>USDM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Conf.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ICD signed by subject/LAR had not received IRB/IEC approval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ICD was lost, no copy available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confidentiality compromised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randomized to Phase 3 despite Sponsor decision not to conduct the Phase 3 portion of the study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`Population`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Subject/LAR did not sign ICD &amp; did not give verbal consent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Subject/LAR signed and dated ICD after screen/enroll date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Category 11 — Category 11</w:t>
      </w:r>
    </w:p>
    <w:p>
      <w:r>
        <w:rPr>
          <w:i/>
        </w:rPr>
        <w:t xml:space="preserve">USDM column: </w:t>
      </w:r>
      <w:r>
        <w:rPr>
          <w:b/>
          <w:i/>
        </w:rPr>
        <w:t>✓</w:t>
      </w:r>
      <w:r>
        <w:rPr>
          <w:i/>
        </w:rPr>
        <w:t xml:space="preserve"> = entity id in protocol · </w:t>
      </w:r>
      <w:r>
        <w:rPr>
          <w:b/>
          <w:i/>
        </w:rPr>
        <w:t>~</w:t>
      </w:r>
      <w:r>
        <w:rPr>
          <w:i/>
        </w:rPr>
        <w:t xml:space="preserve"> = type / weak ref · </w:t>
      </w:r>
      <w:r>
        <w:rPr>
          <w:b/>
          <w:i/>
        </w:rPr>
        <w:t>✗</w:t>
      </w:r>
      <w:r>
        <w:rPr>
          <w:i/>
        </w:rPr>
        <w:t xml:space="preserve"> = not resolvable · </w:t>
      </w:r>
      <w:r>
        <w:rPr>
          <w:b/>
          <w:i/>
        </w:rPr>
        <w:t>—</w:t>
      </w:r>
      <w:r>
        <w:rPr>
          <w:i/>
        </w:rPr>
        <w:t xml:space="preserve"> = exempt. Includes </w:t>
      </w:r>
      <w:r>
        <w:rPr>
          <w:b/>
          <w:i/>
        </w:rPr>
        <w:t>USDM class</w:t>
      </w:r>
      <w:r>
        <w:rPr>
          <w:i/>
        </w:rPr>
        <w:t xml:space="preserve"> (`usdm_entity` / `instanceType`) plus protocol source path when resolved.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3168"/>
            <w:shd w:fill="D9E2F3"/>
          </w:tcPr>
          <w:p>
            <w:r>
              <w:rPr>
                <w:rFonts w:ascii="Arial" w:hAnsi="Arial"/>
                <w:b/>
                <w:sz w:val="18"/>
              </w:rPr>
              <w:t>Subcategory text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Score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Match</w:t>
            </w:r>
          </w:p>
        </w:tc>
        <w:tc>
          <w:tcPr>
            <w:tcW w:type="dxa" w:w="864"/>
            <w:shd w:fill="D9E2F3"/>
          </w:tcPr>
          <w:p>
            <w:r>
              <w:rPr>
                <w:rFonts w:ascii="Arial" w:hAnsi="Arial"/>
                <w:b/>
                <w:sz w:val="18"/>
              </w:rPr>
              <w:t>YES/NO</w:t>
            </w:r>
          </w:p>
        </w:tc>
        <w:tc>
          <w:tcPr>
            <w:tcW w:type="dxa" w:w="1512"/>
            <w:shd w:fill="D9E2F3"/>
          </w:tcPr>
          <w:p>
            <w:r>
              <w:rPr>
                <w:rFonts w:ascii="Arial" w:hAnsi="Arial"/>
                <w:b/>
                <w:sz w:val="18"/>
              </w:rPr>
              <w:t>USDM</w:t>
            </w:r>
          </w:p>
        </w:tc>
        <w:tc>
          <w:tcPr>
            <w:tcW w:type="dxa" w:w="720"/>
            <w:shd w:fill="D9E2F3"/>
          </w:tcPr>
          <w:p>
            <w:r>
              <w:rPr>
                <w:rFonts w:ascii="Arial" w:hAnsi="Arial"/>
                <w:b/>
                <w:sz w:val="18"/>
              </w:rPr>
              <w:t>Conf.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Participant signed a superseded or outdated version of the Informed Consent Document (ICD).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Extra</w:t>
            </w:r>
          </w:p>
        </w:tc>
        <w:tc>
          <w:tcPr>
            <w:tcW w:type="dxa" w:w="864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1512"/>
          </w:tcPr>
          <w:p>
            <w:r>
              <w:rPr>
                <w:rFonts w:ascii="Arial" w:hAnsi="Arial"/>
                <w:sz w:val="18"/>
              </w:rPr>
              <w:t>USDM class: `Activity`</w:t>
            </w:r>
          </w:p>
        </w:tc>
        <w:tc>
          <w:tcPr>
            <w:tcW w:type="dxa" w:w="720"/>
          </w:tcPr>
          <w:p>
            <w:r>
              <w:rPr>
                <w:rFonts w:ascii="Arial" w:hAnsi="Arial"/>
                <w:sz w:val="18"/>
              </w:rPr>
              <w:t>~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Near Miss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Generated</w:t>
            </w:r>
          </w:p>
        </w:tc>
        <w:tc>
          <w:tcPr>
            <w:tcW w:type="dxa" w:w="3360"/>
            <w:shd w:fill="D9E2F3"/>
          </w:tcPr>
          <w:p>
            <w:r>
              <w:rPr>
                <w:rFonts w:ascii="Arial" w:hAnsi="Arial"/>
                <w:b/>
                <w:sz w:val="18"/>
              </w:rPr>
              <w:t>Ground Truth (Actual)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Participant did not sign the additional consent for optional procedures (e.g., Retained Research Blood Sample for Genetics) but these biologic samples were collected.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Subject did not sign the additional consent for optional procedure(s) but biologic samples were collected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The Informed Consent Document (ICD) signed by the participant had not received IRB/IEC approval.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ICD signed by subject/LAR had not received IRB/IEC approval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Participant signed the Informed Consent Document (ICD) after study-specified screening procedures (e.g., tumor biopsy, blood samples, ECG) had been performed.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Subject signed ICD after study-specified procedures had been performed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The Informed Consent Document (ICD) was not translated into the participant's native language.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ICD not translated to subject's/LAR native language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The signed Informed Consent Document (ICD) was lost, and no copy is available at the site.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ICD was lost, no copy available</w:t>
            </w:r>
          </w:p>
        </w:tc>
      </w:tr>
      <w:tr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Near Miss B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Participant did not sign the Informed Consent Document (ICD) and did not give verbal consent prior to randomization or any study procedures.</w:t>
            </w:r>
          </w:p>
        </w:tc>
        <w:tc>
          <w:tcPr>
            <w:tcW w:type="dxa" w:w="3360"/>
          </w:tcPr>
          <w:p>
            <w:r>
              <w:rPr>
                <w:rFonts w:ascii="Arial" w:hAnsi="Arial"/>
                <w:sz w:val="18"/>
              </w:rPr>
              <w:t>Subject/LAR did not sign ICD &amp; did not give verbal consent</w:t>
            </w:r>
          </w:p>
        </w:tc>
      </w:tr>
    </w:tbl>
    <w:p/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ICD not signed by impartial witness, when applicable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ICD signed by unauthorized site personnel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ICD was lost, copy available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Subject/LAR did not sign the ICD but gave verbal consent — not generated.</w:t>
      </w:r>
    </w:p>
    <w:p>
      <w:pPr>
        <w:ind w:left="360"/>
      </w:pPr>
      <w:r>
        <w:rPr>
          <w:b/>
          <w:i w:val="0"/>
        </w:rPr>
        <w:t>MISS:</w:t>
      </w:r>
      <w:r>
        <w:rPr>
          <w:i w:val="0"/>
        </w:rPr>
        <w:t xml:space="preserve"> Subject/LAR signed and dated ICD after screen/enroll date — not generated.</w:t>
      </w:r>
    </w:p>
    <w:p>
      <w:pPr>
        <w:spacing w:before="200" w:after="80"/>
      </w:pPr>
      <w:r>
        <w:rPr>
          <w:b/>
          <w:sz w:val="22"/>
        </w:rPr>
        <w:t>4. Improvement Actions</w:t>
      </w:r>
    </w:p>
    <w:p>
      <w:r>
        <w:rPr>
          <w:i/>
        </w:rPr>
        <w:t>Actions derived from eval scoring. Prioritised for generator developer.</w:t>
      </w:r>
    </w:p>
    <w:p>
      <w:pPr>
        <w:spacing w:before="200" w:after="80"/>
      </w:pPr>
      <w:r>
        <w:rPr>
          <w:b/>
          <w:sz w:val="22"/>
        </w:rPr>
        <w:t>M1 remediation: generated vs ground truth</w:t>
      </w:r>
    </w:p>
    <w:p>
      <w:r>
        <w:rPr>
          <w:i/>
        </w:rPr>
        <w:t xml:space="preserve">Each bullet is a </w:t>
      </w:r>
      <w:r>
        <w:rPr>
          <w:b/>
          <w:i/>
        </w:rPr>
        <w:t>pairing</w:t>
      </w:r>
      <w:r>
        <w:rPr>
          <w:i/>
        </w:rPr>
        <w:t xml:space="preserve"> from the evaluator: </w:t>
      </w:r>
      <w:r>
        <w:rPr>
          <w:b/>
          <w:i/>
        </w:rPr>
        <w:t>Generated</w:t>
      </w:r>
      <w:r>
        <w:rPr>
          <w:i/>
        </w:rPr>
        <w:t xml:space="preserve"> is what the model output; </w:t>
      </w:r>
      <w:r>
        <w:rPr>
          <w:b/>
          <w:i/>
        </w:rPr>
        <w:t>GT</w:t>
      </w:r>
      <w:r>
        <w:rPr>
          <w:i/>
        </w:rPr>
        <w:t xml:space="preserve"> is the ground-truth label it was matched to. </w:t>
      </w:r>
      <w:r>
        <w:rPr>
          <w:b/>
          <w:i/>
        </w:rPr>
        <w:t>Strict</w:t>
      </w:r>
      <w:r>
        <w:rPr>
          <w:i/>
        </w:rPr>
        <w:t xml:space="preserve"> = edit-distance / numbering near-miss rules. </w:t>
      </w:r>
      <w:r>
        <w:rPr>
          <w:b/>
          <w:i/>
        </w:rPr>
        <w:t>Paraphrase</w:t>
      </w:r>
      <w:r>
        <w:rPr>
          <w:i/>
        </w:rPr>
        <w:t xml:space="preserve"> = same deviation in different wording (e.g. long vs short line) when strict rules did not fire.</w:t>
      </w:r>
    </w:p>
    <w:p>
      <w:r>
        <w:rPr>
          <w:b/>
        </w:rPr>
        <w:t>Strict near-miss (partial credit)</w:t>
      </w:r>
    </w:p>
    <w:p>
      <w:pPr>
        <w:pStyle w:val="ListBullet"/>
      </w:pPr>
      <w:r>
        <w:rPr>
          <w:b/>
          <w:i w:val="0"/>
        </w:rPr>
        <w:t>Cat 1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Participant did not meet one or more inclusion criteria but was randomized to the study treatment  </w:t>
      </w:r>
      <w:r>
        <w:rPr>
          <w:b/>
          <w:i w:val="0"/>
        </w:rPr>
        <w:t>GT:</w:t>
      </w:r>
      <w:r>
        <w:rPr>
          <w:i w:val="0"/>
        </w:rPr>
        <w:t xml:space="preserve"> Subject did not meet inclusion criteria 6 [ECOG performance status less than or equal to 2.]  _(cause: )_</w:t>
      </w:r>
    </w:p>
    <w:p>
      <w:pPr>
        <w:pStyle w:val="ListBullet"/>
      </w:pPr>
      <w:r>
        <w:rPr>
          <w:b/>
          <w:i w:val="0"/>
        </w:rPr>
        <w:t>Cat 1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Participant met one or more exclusion criteria but was randomized to the study treatment  </w:t>
      </w:r>
      <w:r>
        <w:rPr>
          <w:b/>
          <w:i w:val="0"/>
        </w:rPr>
        <w:t>GT:</w:t>
      </w:r>
      <w:r>
        <w:rPr>
          <w:i w:val="0"/>
        </w:rPr>
        <w:t xml:space="preserve"> Subject met exclusion criteria 8 [Any unresolved toxicities from prior surgeries or therapies or other toxicities as per protocol.]  _(cause: )_</w:t>
      </w:r>
    </w:p>
    <w:p>
      <w:pPr>
        <w:pStyle w:val="ListBullet"/>
      </w:pPr>
      <w:r>
        <w:rPr>
          <w:b/>
          <w:i w:val="0"/>
        </w:rPr>
        <w:t>Cat 3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Participant took permitted concomitant medication, but not as specified per protocol  </w:t>
      </w:r>
      <w:r>
        <w:rPr>
          <w:b/>
          <w:i w:val="0"/>
        </w:rPr>
        <w:t>GT:</w:t>
      </w:r>
      <w:r>
        <w:rPr>
          <w:i w:val="0"/>
        </w:rPr>
        <w:t xml:space="preserve"> Took prohibited concomitant medication/vaccine  _(cause: )_</w:t>
      </w:r>
    </w:p>
    <w:p>
      <w:pPr>
        <w:pStyle w:val="ListBullet"/>
      </w:pPr>
      <w:r>
        <w:rPr>
          <w:b/>
          <w:i w:val="0"/>
        </w:rPr>
        <w:t>Cat 7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Participant randomized under wrong stratification factors  </w:t>
      </w:r>
      <w:r>
        <w:rPr>
          <w:b/>
          <w:i w:val="0"/>
        </w:rPr>
        <w:t>GT:</w:t>
      </w:r>
      <w:r>
        <w:rPr>
          <w:i w:val="0"/>
        </w:rPr>
        <w:t xml:space="preserve"> Randomized under wrong stratification  _(cause: )_</w:t>
      </w:r>
    </w:p>
    <w:p>
      <w:pPr>
        <w:pStyle w:val="ListBullet"/>
      </w:pPr>
      <w:r>
        <w:rPr>
          <w:b/>
          <w:i w:val="0"/>
        </w:rPr>
        <w:t>Cat 9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Participant was discontinued from study treatment or the study but did not meet any protocol-specified discontinuation criteria  </w:t>
      </w:r>
      <w:r>
        <w:rPr>
          <w:b/>
          <w:i w:val="0"/>
        </w:rPr>
        <w:t>GT:</w:t>
      </w:r>
      <w:r>
        <w:rPr>
          <w:i w:val="0"/>
        </w:rPr>
        <w:t xml:space="preserve"> Participant developed withdrawal criteria during the study but was not withdrawn  _(cause: )_</w:t>
      </w:r>
    </w:p>
    <w:p>
      <w:pPr>
        <w:pStyle w:val="ListBullet"/>
      </w:pPr>
      <w:r>
        <w:rPr>
          <w:b/>
          <w:i w:val="0"/>
        </w:rPr>
        <w:t>Cat 11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Participant did not sign the additional consent for optional procedures (e.g., Retained Research Blood Sample for Genetics) but these biologic samples were collected.  </w:t>
      </w:r>
      <w:r>
        <w:rPr>
          <w:b/>
          <w:i w:val="0"/>
        </w:rPr>
        <w:t>GT:</w:t>
      </w:r>
      <w:r>
        <w:rPr>
          <w:i w:val="0"/>
        </w:rPr>
        <w:t xml:space="preserve"> Subject did not sign the additional consent for optional procedure(s) but biologic samples were collected  _(cause: )_</w:t>
      </w:r>
    </w:p>
    <w:p>
      <w:pPr>
        <w:pStyle w:val="ListBullet"/>
      </w:pPr>
      <w:r>
        <w:rPr>
          <w:b/>
          <w:i w:val="0"/>
        </w:rPr>
        <w:t>Cat 11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The Informed Consent Document (ICD) signed by the participant had not received IRB/IEC approval.  </w:t>
      </w:r>
      <w:r>
        <w:rPr>
          <w:b/>
          <w:i w:val="0"/>
        </w:rPr>
        <w:t>GT:</w:t>
      </w:r>
      <w:r>
        <w:rPr>
          <w:i w:val="0"/>
        </w:rPr>
        <w:t xml:space="preserve"> ICD signed by subject/LAR had not received IRB/IEC approval  _(cause: )_</w:t>
      </w:r>
    </w:p>
    <w:p>
      <w:pPr>
        <w:pStyle w:val="ListBullet"/>
      </w:pPr>
      <w:r>
        <w:rPr>
          <w:b/>
          <w:i w:val="0"/>
        </w:rPr>
        <w:t>Cat 11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Participant signed the Informed Consent Document (ICD) after study-specified screening procedures (e.g., tumor biopsy, blood samples, ECG) had been performed.  </w:t>
      </w:r>
      <w:r>
        <w:rPr>
          <w:b/>
          <w:i w:val="0"/>
        </w:rPr>
        <w:t>GT:</w:t>
      </w:r>
      <w:r>
        <w:rPr>
          <w:i w:val="0"/>
        </w:rPr>
        <w:t xml:space="preserve"> Subject signed ICD after study-specified procedures had been performed  _(cause: )_</w:t>
      </w:r>
    </w:p>
    <w:p>
      <w:pPr>
        <w:pStyle w:val="ListBullet"/>
      </w:pPr>
      <w:r>
        <w:rPr>
          <w:b/>
          <w:i w:val="0"/>
        </w:rPr>
        <w:t>Cat 11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The Informed Consent Document (ICD) was not translated into the participant's native language.  </w:t>
      </w:r>
      <w:r>
        <w:rPr>
          <w:b/>
          <w:i w:val="0"/>
        </w:rPr>
        <w:t>GT:</w:t>
      </w:r>
      <w:r>
        <w:rPr>
          <w:i w:val="0"/>
        </w:rPr>
        <w:t xml:space="preserve"> ICD not translated to subject's/LAR native language  _(cause: )_</w:t>
      </w:r>
    </w:p>
    <w:p>
      <w:pPr>
        <w:pStyle w:val="ListBullet"/>
      </w:pPr>
      <w:r>
        <w:rPr>
          <w:b/>
          <w:i w:val="0"/>
        </w:rPr>
        <w:t>Cat 11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The signed Informed Consent Document (ICD) was lost, and no copy is available at the site.  </w:t>
      </w:r>
      <w:r>
        <w:rPr>
          <w:b/>
          <w:i w:val="0"/>
        </w:rPr>
        <w:t>GT:</w:t>
      </w:r>
      <w:r>
        <w:rPr>
          <w:i w:val="0"/>
        </w:rPr>
        <w:t xml:space="preserve"> ICD was lost, no copy available  _(cause: )_</w:t>
      </w:r>
    </w:p>
    <w:p>
      <w:pPr>
        <w:pStyle w:val="ListBullet"/>
      </w:pPr>
      <w:r>
        <w:rPr>
          <w:b/>
          <w:i w:val="0"/>
        </w:rPr>
        <w:t>Cat 11</w:t>
      </w:r>
      <w:r>
        <w:rPr>
          <w:i w:val="0"/>
        </w:rPr>
        <w:t xml:space="preserve"> — </w:t>
      </w:r>
      <w:r>
        <w:rPr>
          <w:b/>
          <w:i w:val="0"/>
        </w:rPr>
        <w:t>Generated:</w:t>
      </w:r>
      <w:r>
        <w:rPr>
          <w:i w:val="0"/>
        </w:rPr>
        <w:t xml:space="preserve"> Participant did not sign the Informed Consent Document (ICD) and did not give verbal consent prior to randomization or any study procedures.  </w:t>
      </w:r>
      <w:r>
        <w:rPr>
          <w:b/>
          <w:i w:val="0"/>
        </w:rPr>
        <w:t>GT:</w:t>
      </w:r>
      <w:r>
        <w:rPr>
          <w:i w:val="0"/>
        </w:rPr>
        <w:t xml:space="preserve"> Subject/LAR did not sign ICD &amp; did not give verbal consent  _(cause: )_</w:t>
      </w:r>
    </w:p>
    <w:p>
      <w:r>
        <w:rPr>
          <w:i/>
        </w:rPr>
        <w:t>Structured table: remaining typed failures after M1 pairing (strict near-miss + paraphrase). Same-topic miss–extra pairs resolved above are removed from the miss/extra lists.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2F3"/>
          </w:tcPr>
          <w:p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2016"/>
            <w:shd w:fill="D9E2F3"/>
          </w:tcPr>
          <w:p>
            <w:r>
              <w:rPr>
                <w:rFonts w:ascii="Arial" w:hAnsi="Arial"/>
                <w:b/>
                <w:sz w:val="18"/>
              </w:rPr>
              <w:t>Category</w:t>
            </w:r>
          </w:p>
        </w:tc>
        <w:tc>
          <w:tcPr>
            <w:tcW w:type="dxa" w:w="2016"/>
            <w:shd w:fill="D9E2F3"/>
          </w:tcPr>
          <w:p>
            <w:r>
              <w:rPr>
                <w:rFonts w:ascii="Arial" w:hAnsi="Arial"/>
                <w:b/>
                <w:sz w:val="18"/>
              </w:rPr>
              <w:t>Type</w:t>
            </w:r>
          </w:p>
        </w:tc>
        <w:tc>
          <w:tcPr>
            <w:tcW w:type="dxa" w:w="2016"/>
            <w:shd w:fill="D9E2F3"/>
          </w:tcPr>
          <w:p>
            <w:r>
              <w:rPr>
                <w:rFonts w:ascii="Arial" w:hAnsi="Arial"/>
                <w:b/>
                <w:sz w:val="18"/>
              </w:rPr>
              <w:t>Action</w:t>
            </w:r>
          </w:p>
        </w:tc>
        <w:tc>
          <w:tcPr>
            <w:tcW w:type="dxa" w:w="2016"/>
            <w:shd w:fill="D9E2F3"/>
          </w:tcPr>
          <w:p>
            <w:r>
              <w:rPr>
                <w:rFonts w:ascii="Arial" w:hAnsi="Arial"/>
                <w:b/>
                <w:sz w:val="18"/>
              </w:rPr>
              <w:t>Fix location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Phase 3 only-Subject not meet inclusion criteria 2 [Pts to comply with SoA visits, assessments/procedures. a. Mandatory blood and tumor at diagnosis of local adv met aBC. If not, de novo biopsy needed. Tumor at initial diagnosis accepted if bone mets only.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did not meet inclusion criteria 1 [Participants aged 18 years or older (or the minimum age of consent in accordance with local regulations) at screening.].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did not meet inclusion criteria 4 [No prior systemic anti-cancer therapy for their locoregionally advanced or metastatic disease.].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did not meet inclusion criteria 5 [At least 1 measurable lesion as defined by RECIST v1.1. Bone only disease: participants with only non-measurable lesions are eligible.].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didnot meet inclusion criteria 3 [Local advanced/metastatic BC not amenable to surgery or radiotherapy with curative intent. BC to be ER(+)≥1%,HER2(-)].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1 [Other medical, psychiatric cond. include recent suicidal idea, behavior, abnormal lab that may increase risk of study participation or investigator’s judgment, make participant inappropriate for study.].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10 [Hematologic abnormalities as defined in protocol.].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11 [Renal impairment as defined in protocol.].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12 [Hepatic dysfunction as defined in protocol.].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13 [Known active infection including SARS-CoV-2, HBV, HCV, and HIV or AIDS- related illness, as defined in protocol.].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14 [Refractory nausea &amp; vomiting, chronic GI disease, GI ulcer, GI bleeding, inability to swallow study drugs, prior significant gastric, bowel resection preventing adequate absorption of study drugs.].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15 [Site staff directly involved in conduct of study and family members, site otherwise supervised by investigator, sponsor and delegate employees directly involved in conduct of study and family members.].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2 [History of any other tumor malignancies within the past 3 years as per protocol. Participants with inflammatory BC and HSCT are excluded.].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3 [Participants with newly diagnosed/symptomatic CNS mets, carcinomatous meningitis,or leptomeningeal disease. Exception are detailed in the study protocol.].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4 [Pts in visceral crisis at risk of immediate life-threatening complications including pts with massive uncontrolled pleural/pericardial/peritoneal effusion, pulmonary lymphangitis, liver involvement above 50%.].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5 [Impaired cardiovascular function or clinically significant cardiovascular diseases as defined in protocol.].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6 [Relapse while on or within 12 months ofcompleting standard adjuvant ET. CDK4/6i, ARV-471, fulvestrant, and other investigational agents (including novel ET, any SERDs, SERCAs, CERANs) in any setting.].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7 [Major Surgery, RT or systemic therapy for BC ≤ 14 days pre- randomization. Pts with prior RT ≥25% of BM are not eligible.].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Subject met exclusion criteria 9 [Concurrent administration of drugs, food and herbal supplement that are strong CYP3A inhibitors or inducers.].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Participant met all eligibility criteria but source documentation is incomplete or missing.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1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Participant met all eligibility criteria but was randomized prior to assessment of all eligibility criteria.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2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Blind compromised.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2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DOSING error: underdose.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2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M1_MISSING_SUBCAT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GT expects this subcategory line, but it was not generated: Dosing error: overdose.. Likely causes: Few-shot examples missing this subcat OR USDM extractor missed entity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Add train example with this subcat. Check extract_cat function.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2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Dosing/Administration error for vepdegestrant, palbociclib, letrozole, or LHRH agonist.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2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Required LHRH agonist not administered to pre-/peri-menopausal female or male participant.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2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Storage error/temperature excursion. IP administered to participant without Sponsor approval.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2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Study drug not held despite AE that required dose to be held per protocol.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2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Study drug not reduced as per protocol for toxicity (e.g., palbociclib or vepdegestrant).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2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Subject received wrong treatment (e.g., randomized to Arm A but received letrozole, or Arm B but received vepdegestrant).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3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Mandatory concomitant medication (LHRH agonist for pre-/peri-menopausal female and male participants) not taken/administered or not used as specified per protocol.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3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Participant received prohibited concurrent systemic anti-cancer therapy or radiotherapy during the study drug treatment period.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3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Participant took prohibited concomitant medication (e.g., strong CYP3A inhibitors or inducers) during the study treatment period.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4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Abnormal lab result (e.g., Grade 4 neutropenia, hepatic dysfunction) not followed up appropriately.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4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Blood samples for vepdegestrant PK, palbociclib PK, or pharmacodynamics not done.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4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Blood samples for vepdegestrant PK, palbociclib PK, or pharmacodynamics not properly collected, stored or handled.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4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Clinical laboratory results were not reviewed by an Investigator in a timely manner.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4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Critical safety labs required for dosing decisions (e.g., ANC, PLT, ALT, AST, Bilirubin) not done.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4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Study participant dosed without required pregnancy test done for WOCBP.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Cat 4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M1_HALLUCINATED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Generated line is not in GT (extra): Tumor tissue for biomarkers or ctDNA blood samples not collected per protocol. Likely causes: Too many USDM entities injected OR model generating from noise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Tighten USDM extraction scope. Strengthen post-gen validation.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…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…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…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*(50 more in JSON)*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18"/>
              </w:rPr>
              <w:t>…</w:t>
            </w:r>
          </w:p>
        </w:tc>
      </w:tr>
    </w:tbl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