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0080"/>
      </w:tblGrid>
      <w:tr>
        <w:tc>
          <w:tcPr>
            <w:tcW w:type="dxa" w:w="10080"/>
            <w:shd w:fill="003087"/>
          </w:tcPr>
          <w:p>
            <w:r>
              <w:rPr>
                <w:b/>
                <w:i w:val="0"/>
                <w:color w:val="FFFFFF"/>
                <w:sz w:val="22"/>
              </w:rPr>
              <w:t>PFIZER PROTOCOL INTELLIGENCE PLATFORM</w:t>
            </w:r>
          </w:p>
          <w:p>
            <w:pPr>
              <w:spacing w:before="40"/>
            </w:pPr>
          </w:p>
          <w:p>
            <w:r>
              <w:rPr>
                <w:b/>
                <w:i w:val="0"/>
                <w:color w:val="FFFFFF"/>
                <w:sz w:val="22"/>
              </w:rPr>
              <w:t>PIPD Generator — Eval Report</w:t>
            </w:r>
          </w:p>
          <w:p>
            <w:pPr>
              <w:spacing w:before="40"/>
            </w:pPr>
          </w:p>
          <w:p>
            <w:r>
              <w:rPr>
                <w:b/>
                <w:i w:val="0"/>
                <w:color w:val="FFFFFF"/>
                <w:sz w:val="22"/>
              </w:rPr>
              <w:t>C5091017 — AN INTERVENTIONAL EFFICACY AND SAFETY, PHASE 3, DOUBLE-BLIND, 2-ARM STUDY T…</w:t>
            </w:r>
          </w:p>
          <w:p>
            <w:pPr>
              <w:spacing w:before="40"/>
            </w:pPr>
          </w:p>
          <w:p>
            <w:r>
              <w:rPr>
                <w:b w:val="0"/>
                <w:i/>
                <w:color w:val="FFFFFF"/>
                <w:sz w:val="20"/>
              </w:rPr>
              <w:t>Eval date: 2026-04-17  |  Generator: v1.0  |  Config: pipd_eval_config.yaml</w:t>
            </w:r>
          </w:p>
          <w:p>
            <w:pPr>
              <w:spacing w:before="40"/>
            </w:pPr>
          </w:p>
        </w:tc>
      </w:tr>
    </w:tbl>
    <w:p/>
    <w:p>
      <w:pPr>
        <w:spacing w:before="200" w:after="80"/>
      </w:pPr>
      <w:r>
        <w:rPr>
          <w:b/>
          <w:sz w:val="22"/>
        </w:rPr>
        <w:t>DOCUMENT SCORE</w:t>
      </w:r>
    </w:p>
    <w:tbl>
      <w:tblPr>
        <w:tblStyle w:val="TableGrid"/>
        <w:tblW w:type="auto" w:w="0"/>
        <w:tblLayout w:type="fixed"/>
        <w:tblLook w:firstColumn="1" w:firstRow="1" w:lastColumn="0" w:lastRow="0" w:noHBand="0" w:noVBand="1" w:val="04A0"/>
      </w:tblPr>
      <w:tblGrid>
        <w:gridCol w:w="3360"/>
        <w:gridCol w:w="3360"/>
        <w:gridCol w:w="3360"/>
      </w:tblGrid>
      <w:tr>
        <w:tc>
          <w:tcPr>
            <w:tcW w:type="dxa" w:w="2880"/>
            <w:shd w:fill="D9E2F3"/>
          </w:tcPr>
          <w:p>
            <w:r>
              <w:rPr>
                <w:b/>
                <w:sz w:val="22"/>
                <w:color w:val="003087"/>
              </w:rPr>
              <w:t>DOCUMENT SCORE</w:t>
            </w:r>
          </w:p>
          <w:p>
            <w:r>
              <w:rPr>
                <w:sz w:val="18"/>
                <w:color w:val="003087"/>
              </w:rPr>
              <w:t>Unknown / Ph 3</w:t>
            </w:r>
          </w:p>
        </w:tc>
        <w:tc>
          <w:tcPr>
            <w:tcW w:type="dxa" w:w="2160"/>
            <w:shd w:fill="EEF7F1"/>
          </w:tcPr>
          <w:p>
            <w:r>
              <w:rPr>
                <w:b/>
                <w:sz w:val="56"/>
                <w:color w:val="186A5A"/>
              </w:rPr>
              <w:t>22.7</w:t>
            </w:r>
          </w:p>
          <w:p>
            <w:r>
              <w:rPr>
                <w:sz w:val="18"/>
                <w:color w:val="555555"/>
              </w:rPr>
              <w:t>/ 100</w:t>
            </w:r>
          </w:p>
          <w:p>
            <w:r>
              <w:rPr>
                <w:i/>
                <w:sz w:val="16"/>
                <w:color w:val="555555"/>
              </w:rPr>
              <w:t>Scenario 1 — headline uses F1 with recall guardrail.</w:t>
            </w:r>
          </w:p>
        </w:tc>
        <w:tc>
          <w:tcPr>
            <w:tcW w:type="dxa" w:w="2880"/>
          </w:tcPr>
          <w:p>
            <w:r>
              <w:rPr>
                <w:b/>
                <w:sz w:val="24"/>
                <w:color w:val="C0392B"/>
              </w:rPr>
              <w:t>FAIL ✗</w:t>
            </w:r>
          </w:p>
          <w:p>
            <w:r>
              <w:rPr>
                <w:sz w:val="18"/>
                <w:color w:val="555555"/>
              </w:rPr>
              <w:t>Threshold: 70</w:t>
            </w:r>
          </w:p>
          <w:p>
            <w:r>
              <w:rPr>
                <w:sz w:val="18"/>
                <w:color w:val="555555"/>
              </w:rPr>
              <w:t>Target: 75</w:t>
            </w:r>
          </w:p>
        </w:tc>
      </w:tr>
    </w:tbl>
    <w:p/>
    <w:p>
      <w:pPr>
        <w:spacing w:before="200" w:after="80"/>
      </w:pPr>
      <w:r>
        <w:rPr>
          <w:b/>
          <w:sz w:val="22"/>
        </w:rPr>
        <w:t>Top-line Retrieval Metrics</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60"/>
        <w:gridCol w:w="3360"/>
        <w:gridCol w:w="3360"/>
      </w:tblGrid>
      <w:tr>
        <w:tc>
          <w:tcPr>
            <w:tcW w:type="dxa" w:w="3360"/>
            <w:shd w:fill="D9E2F3"/>
          </w:tcPr>
          <w:p>
            <w:r>
              <w:rPr>
                <w:rFonts w:ascii="Arial" w:hAnsi="Arial"/>
                <w:b/>
                <w:sz w:val="18"/>
              </w:rPr>
              <w:t>Metric</w:t>
            </w:r>
          </w:p>
        </w:tc>
        <w:tc>
          <w:tcPr>
            <w:tcW w:type="dxa" w:w="3360"/>
            <w:shd w:fill="D9E2F3"/>
          </w:tcPr>
          <w:p>
            <w:r>
              <w:rPr>
                <w:rFonts w:ascii="Arial" w:hAnsi="Arial"/>
                <w:b/>
                <w:sz w:val="18"/>
              </w:rPr>
              <w:t>What it measures</w:t>
            </w:r>
          </w:p>
        </w:tc>
        <w:tc>
          <w:tcPr>
            <w:tcW w:type="dxa" w:w="3360"/>
            <w:shd w:fill="D9E2F3"/>
          </w:tcPr>
          <w:p>
            <w:r>
              <w:rPr>
                <w:rFonts w:ascii="Arial" w:hAnsi="Arial"/>
                <w:b/>
                <w:sz w:val="18"/>
              </w:rPr>
              <w:t>Current</w:t>
            </w:r>
          </w:p>
        </w:tc>
      </w:tr>
      <w:tr>
        <w:tc>
          <w:tcPr>
            <w:tcW w:type="dxa" w:w="3360"/>
          </w:tcPr>
          <w:p>
            <w:r>
              <w:rPr>
                <w:rFonts w:ascii="Arial" w:hAnsi="Arial"/>
                <w:sz w:val="18"/>
              </w:rPr>
              <w:t>Recall</w:t>
            </w:r>
          </w:p>
        </w:tc>
        <w:tc>
          <w:tcPr>
            <w:tcW w:type="dxa" w:w="3360"/>
          </w:tcPr>
          <w:p>
            <w:r>
              <w:rPr>
                <w:rFonts w:ascii="Arial" w:hAnsi="Arial"/>
                <w:sz w:val="18"/>
              </w:rPr>
              <w:t>Did it find the right subcategories?</w:t>
            </w:r>
          </w:p>
        </w:tc>
        <w:tc>
          <w:tcPr>
            <w:tcW w:type="dxa" w:w="3360"/>
          </w:tcPr>
          <w:p>
            <w:r>
              <w:rPr>
                <w:rFonts w:ascii="Arial" w:hAnsi="Arial"/>
                <w:sz w:val="18"/>
              </w:rPr>
              <w:t>25.0%</w:t>
            </w:r>
          </w:p>
        </w:tc>
      </w:tr>
      <w:tr>
        <w:tc>
          <w:tcPr>
            <w:tcW w:type="dxa" w:w="3360"/>
          </w:tcPr>
          <w:p>
            <w:r>
              <w:rPr>
                <w:rFonts w:ascii="Arial" w:hAnsi="Arial"/>
                <w:sz w:val="18"/>
              </w:rPr>
              <w:t>Precision</w:t>
            </w:r>
          </w:p>
        </w:tc>
        <w:tc>
          <w:tcPr>
            <w:tcW w:type="dxa" w:w="3360"/>
          </w:tcPr>
          <w:p>
            <w:r>
              <w:rPr>
                <w:rFonts w:ascii="Arial" w:hAnsi="Arial"/>
                <w:sz w:val="18"/>
              </w:rPr>
              <w:t>Did it avoid making things up?</w:t>
            </w:r>
          </w:p>
        </w:tc>
        <w:tc>
          <w:tcPr>
            <w:tcW w:type="dxa" w:w="3360"/>
          </w:tcPr>
          <w:p>
            <w:r>
              <w:rPr>
                <w:rFonts w:ascii="Arial" w:hAnsi="Arial"/>
                <w:sz w:val="18"/>
              </w:rPr>
              <w:t>20.8%</w:t>
            </w:r>
          </w:p>
        </w:tc>
      </w:tr>
      <w:tr>
        <w:tc>
          <w:tcPr>
            <w:tcW w:type="dxa" w:w="3360"/>
          </w:tcPr>
          <w:p>
            <w:r>
              <w:rPr>
                <w:rFonts w:ascii="Arial" w:hAnsi="Arial"/>
                <w:sz w:val="18"/>
              </w:rPr>
              <w:t>F1</w:t>
            </w:r>
          </w:p>
        </w:tc>
        <w:tc>
          <w:tcPr>
            <w:tcW w:type="dxa" w:w="3360"/>
          </w:tcPr>
          <w:p>
            <w:r>
              <w:rPr>
                <w:rFonts w:ascii="Arial" w:hAnsi="Arial"/>
                <w:sz w:val="18"/>
              </w:rPr>
              <w:t>Balanced summary</w:t>
            </w:r>
          </w:p>
        </w:tc>
        <w:tc>
          <w:tcPr>
            <w:tcW w:type="dxa" w:w="3360"/>
          </w:tcPr>
          <w:p>
            <w:r>
              <w:rPr>
                <w:rFonts w:ascii="Arial" w:hAnsi="Arial"/>
                <w:sz w:val="18"/>
              </w:rPr>
              <w:t>22.7%</w:t>
            </w:r>
          </w:p>
        </w:tc>
      </w:tr>
    </w:tbl>
    <w:p/>
    <w:p>
      <w:pPr>
        <w:spacing w:before="200" w:after="80"/>
      </w:pPr>
      <w:r>
        <w:rPr>
          <w:b/>
          <w:sz w:val="22"/>
        </w:rPr>
        <w:t>1. Summary Metrics</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016"/>
        <w:gridCol w:w="2016"/>
        <w:gridCol w:w="2016"/>
        <w:gridCol w:w="2016"/>
        <w:gridCol w:w="2016"/>
      </w:tblGrid>
      <w:tr>
        <w:tc>
          <w:tcPr>
            <w:tcW w:type="dxa" w:w="3600"/>
            <w:shd w:fill="D9E2F3"/>
          </w:tcPr>
          <w:p>
            <w:r>
              <w:rPr>
                <w:rFonts w:ascii="Arial" w:hAnsi="Arial"/>
                <w:b/>
                <w:sz w:val="18"/>
              </w:rPr>
              <w:t>Metric</w:t>
            </w:r>
          </w:p>
        </w:tc>
        <w:tc>
          <w:tcPr>
            <w:tcW w:type="dxa" w:w="1181"/>
            <w:shd w:fill="D9E2F3"/>
          </w:tcPr>
          <w:p>
            <w:r>
              <w:rPr>
                <w:rFonts w:ascii="Arial" w:hAnsi="Arial"/>
                <w:b/>
                <w:sz w:val="18"/>
              </w:rPr>
              <w:t>Score</w:t>
            </w:r>
          </w:p>
        </w:tc>
        <w:tc>
          <w:tcPr>
            <w:tcW w:type="dxa" w:w="1037"/>
            <w:shd w:fill="D9E2F3"/>
          </w:tcPr>
          <w:p>
            <w:r>
              <w:rPr>
                <w:rFonts w:ascii="Arial" w:hAnsi="Arial"/>
                <w:b/>
                <w:sz w:val="18"/>
              </w:rPr>
              <w:t>Target</w:t>
            </w:r>
          </w:p>
        </w:tc>
        <w:tc>
          <w:tcPr>
            <w:tcW w:type="dxa" w:w="1224"/>
            <w:shd w:fill="D9E2F3"/>
          </w:tcPr>
          <w:p>
            <w:r>
              <w:rPr>
                <w:rFonts w:ascii="Arial" w:hAnsi="Arial"/>
                <w:b/>
                <w:sz w:val="18"/>
              </w:rPr>
              <w:t>Pass/Fail</w:t>
            </w:r>
          </w:p>
        </w:tc>
        <w:tc>
          <w:tcPr>
            <w:tcW w:type="dxa" w:w="2088"/>
            <w:shd w:fill="D9E2F3"/>
          </w:tcPr>
          <w:p>
            <w:r>
              <w:rPr>
                <w:rFonts w:ascii="Arial" w:hAnsi="Arial"/>
                <w:b/>
                <w:sz w:val="18"/>
              </w:rPr>
              <w:t>Source</w:t>
            </w:r>
          </w:p>
        </w:tc>
      </w:tr>
      <w:tr>
        <w:tc>
          <w:tcPr>
            <w:tcW w:type="dxa" w:w="3600"/>
          </w:tcPr>
          <w:p>
            <w:r>
              <w:rPr>
                <w:rFonts w:ascii="Arial" w:hAnsi="Arial"/>
                <w:sz w:val="18"/>
              </w:rPr>
              <w:t>M1 Retrieval (F1 headline) (C5091017)</w:t>
            </w:r>
          </w:p>
        </w:tc>
        <w:tc>
          <w:tcPr>
            <w:tcW w:type="dxa" w:w="1181"/>
          </w:tcPr>
          <w:p>
            <w:r>
              <w:rPr>
                <w:rFonts w:ascii="Arial" w:hAnsi="Arial"/>
                <w:sz w:val="18"/>
              </w:rPr>
              <w:t>23% *(R=25%, P=21%)*</w:t>
            </w:r>
          </w:p>
        </w:tc>
        <w:tc>
          <w:tcPr>
            <w:tcW w:type="dxa" w:w="1037"/>
          </w:tcPr>
          <w:p>
            <w:r>
              <w:rPr>
                <w:rFonts w:ascii="Arial" w:hAnsi="Arial"/>
                <w:sz w:val="18"/>
              </w:rPr>
              <w:t>F1 70% + Recall 75%</w:t>
            </w:r>
          </w:p>
        </w:tc>
        <w:tc>
          <w:tcPr>
            <w:tcW w:type="dxa" w:w="1224"/>
          </w:tcPr>
          <w:p>
            <w:r>
              <w:rPr>
                <w:rFonts w:ascii="Arial" w:hAnsi="Arial"/>
                <w:sz w:val="18"/>
              </w:rPr>
              <w:t>FAIL ✗</w:t>
            </w:r>
          </w:p>
        </w:tc>
        <w:tc>
          <w:tcPr>
            <w:tcW w:type="dxa" w:w="2088"/>
          </w:tcPr>
          <w:p>
            <w:r>
              <w:rPr>
                <w:rFonts w:ascii="Arial" w:hAnsi="Arial"/>
                <w:sz w:val="18"/>
              </w:rPr>
              <w:t>pipd_ground_truth_clean.csv</w:t>
            </w:r>
          </w:p>
        </w:tc>
      </w:tr>
      <w:tr>
        <w:tc>
          <w:tcPr>
            <w:tcW w:type="dxa" w:w="3600"/>
          </w:tcPr>
          <w:p>
            <w:r>
              <w:rPr>
                <w:rFonts w:ascii="Arial" w:hAnsi="Arial"/>
                <w:sz w:val="18"/>
              </w:rPr>
              <w:t>M2 YES/NO Flag Accuracy</w:t>
            </w:r>
          </w:p>
        </w:tc>
        <w:tc>
          <w:tcPr>
            <w:tcW w:type="dxa" w:w="1181"/>
          </w:tcPr>
          <w:p>
            <w:r>
              <w:rPr>
                <w:rFonts w:ascii="Arial" w:hAnsi="Arial"/>
                <w:sz w:val="18"/>
              </w:rPr>
              <w:t>0%</w:t>
            </w:r>
          </w:p>
        </w:tc>
        <w:tc>
          <w:tcPr>
            <w:tcW w:type="dxa" w:w="1037"/>
          </w:tcPr>
          <w:p>
            <w:r>
              <w:rPr>
                <w:rFonts w:ascii="Arial" w:hAnsi="Arial"/>
                <w:sz w:val="18"/>
              </w:rPr>
              <w:t>90%</w:t>
            </w:r>
          </w:p>
        </w:tc>
        <w:tc>
          <w:tcPr>
            <w:tcW w:type="dxa" w:w="1224"/>
          </w:tcPr>
          <w:p>
            <w:r>
              <w:rPr>
                <w:rFonts w:ascii="Arial" w:hAnsi="Arial"/>
                <w:sz w:val="18"/>
              </w:rPr>
              <w:t>FAIL ✗</w:t>
            </w:r>
          </w:p>
        </w:tc>
        <w:tc>
          <w:tcPr>
            <w:tcW w:type="dxa" w:w="2088"/>
          </w:tcPr>
          <w:p>
            <w:r>
              <w:rPr>
                <w:rFonts w:ascii="Arial" w:hAnsi="Arial"/>
                <w:sz w:val="18"/>
              </w:rPr>
              <w:t>pipd_ground_truth_clean.csv</w:t>
            </w:r>
          </w:p>
        </w:tc>
      </w:tr>
      <w:tr>
        <w:tc>
          <w:tcPr>
            <w:tcW w:type="dxa" w:w="3600"/>
          </w:tcPr>
          <w:p>
            <w:r>
              <w:rPr>
                <w:rFonts w:ascii="Arial" w:hAnsi="Arial"/>
                <w:sz w:val="18"/>
              </w:rPr>
              <w:t>M3 Empty Category Accuracy</w:t>
            </w:r>
          </w:p>
        </w:tc>
        <w:tc>
          <w:tcPr>
            <w:tcW w:type="dxa" w:w="1181"/>
          </w:tcPr>
          <w:p>
            <w:r>
              <w:rPr>
                <w:rFonts w:ascii="Arial" w:hAnsi="Arial"/>
                <w:sz w:val="18"/>
              </w:rPr>
              <w:t>91%</w:t>
            </w:r>
          </w:p>
        </w:tc>
        <w:tc>
          <w:tcPr>
            <w:tcW w:type="dxa" w:w="1037"/>
          </w:tcPr>
          <w:p>
            <w:r>
              <w:rPr>
                <w:rFonts w:ascii="Arial" w:hAnsi="Arial"/>
                <w:sz w:val="18"/>
              </w:rPr>
              <w:t>80%</w:t>
            </w:r>
          </w:p>
        </w:tc>
        <w:tc>
          <w:tcPr>
            <w:tcW w:type="dxa" w:w="1224"/>
          </w:tcPr>
          <w:p>
            <w:r>
              <w:rPr>
                <w:rFonts w:ascii="Arial" w:hAnsi="Arial"/>
                <w:sz w:val="18"/>
              </w:rPr>
              <w:t>PASS ✓</w:t>
            </w:r>
          </w:p>
        </w:tc>
        <w:tc>
          <w:tcPr>
            <w:tcW w:type="dxa" w:w="2088"/>
          </w:tcPr>
          <w:p>
            <w:r>
              <w:rPr>
                <w:rFonts w:ascii="Arial" w:hAnsi="Arial"/>
                <w:sz w:val="18"/>
              </w:rPr>
              <w:t>pipd_ground_truth_clean.csv</w:t>
            </w:r>
          </w:p>
        </w:tc>
      </w:tr>
      <w:tr>
        <w:tc>
          <w:tcPr>
            <w:tcW w:type="dxa" w:w="3600"/>
          </w:tcPr>
          <w:p>
            <w:r>
              <w:rPr>
                <w:rFonts w:ascii="Arial" w:hAnsi="Arial"/>
                <w:sz w:val="18"/>
              </w:rPr>
              <w:t>M4 Hallucination rate (separate from recall)</w:t>
            </w:r>
          </w:p>
        </w:tc>
        <w:tc>
          <w:tcPr>
            <w:tcW w:type="dxa" w:w="1181"/>
          </w:tcPr>
          <w:p>
            <w:r>
              <w:rPr>
                <w:rFonts w:ascii="Arial" w:hAnsi="Arial"/>
                <w:sz w:val="18"/>
              </w:rPr>
              <w:t>5.1% (3/59)</w:t>
            </w:r>
          </w:p>
        </w:tc>
        <w:tc>
          <w:tcPr>
            <w:tcW w:type="dxa" w:w="1037"/>
          </w:tcPr>
          <w:p>
            <w:r>
              <w:rPr>
                <w:rFonts w:ascii="Arial" w:hAnsi="Arial"/>
                <w:sz w:val="18"/>
              </w:rPr>
              <w:t>&lt;= 20.0%</w:t>
            </w:r>
          </w:p>
        </w:tc>
        <w:tc>
          <w:tcPr>
            <w:tcW w:type="dxa" w:w="1224"/>
          </w:tcPr>
          <w:p>
            <w:r>
              <w:rPr>
                <w:rFonts w:ascii="Arial" w:hAnsi="Arial"/>
                <w:sz w:val="18"/>
              </w:rPr>
              <w:t>PASS ✓</w:t>
            </w:r>
          </w:p>
        </w:tc>
        <w:tc>
          <w:tcPr>
            <w:tcW w:type="dxa" w:w="2088"/>
          </w:tcPr>
          <w:p>
            <w:r>
              <w:rPr>
                <w:rFonts w:ascii="Arial" w:hAnsi="Arial"/>
                <w:sz w:val="18"/>
              </w:rPr>
              <w:t>extras as precision risk</w:t>
            </w:r>
          </w:p>
        </w:tc>
      </w:tr>
    </w:tbl>
    <w:p/>
    <w:p>
      <w:r>
        <w:rPr>
          <w:i/>
        </w:rPr>
        <w:t xml:space="preserve">“Extra” in the scorecard / detail tables means a </w:t>
      </w:r>
      <w:r>
        <w:rPr>
          <w:b/>
          <w:i/>
        </w:rPr>
        <w:t>generated</w:t>
      </w:r>
      <w:r>
        <w:rPr>
          <w:i/>
        </w:rPr>
        <w:t xml:space="preserve"> subcategory line not present in ground truth for that category (same items as M1 `hallucinated_subcats`). </w:t>
      </w:r>
      <w:r>
        <w:rPr>
          <w:b/>
          <w:i/>
        </w:rPr>
        <w:t>M4</w:t>
      </w:r>
      <w:r>
        <w:rPr>
          <w:i/>
        </w:rPr>
        <w:t xml:space="preserve"> counts only </w:t>
      </w:r>
      <w:r>
        <w:rPr>
          <w:b/>
          <w:i/>
        </w:rPr>
        <w:t>auto_confirmed</w:t>
      </w:r>
      <w:r>
        <w:rPr>
          <w:i/>
        </w:rPr>
        <w:t xml:space="preserve"> rows with missing/bad </w:t>
      </w:r>
      <w:r>
        <w:rPr>
          <w:b/>
          <w:i/>
        </w:rPr>
        <w:t>usdm_entity_id</w:t>
      </w:r>
      <w:r>
        <w:rPr>
          <w:i/>
        </w:rPr>
        <w:t xml:space="preserve"> — not the M1 extras count.</w:t>
      </w:r>
    </w:p>
    <w:p>
      <w:pPr>
        <w:spacing w:before="200" w:after="80"/>
      </w:pPr>
      <w:r>
        <w:rPr>
          <w:b/>
          <w:sz w:val="22"/>
        </w:rPr>
        <w:t>2. Category Scorecard</w:t>
      </w:r>
    </w:p>
    <w:p>
      <w:pPr>
        <w:ind w:left="360"/>
      </w:pPr>
      <w:r>
        <w:rPr>
          <w:b/>
          <w:i w:val="0"/>
        </w:rPr>
        <w:t>Weight</w:t>
      </w:r>
      <w:r>
        <w:rPr>
          <w:i w:val="0"/>
        </w:rPr>
        <w:t xml:space="preserve"> = (GT subcats in category ÷ total GT subcats) × 100 — max document points this category can contribute (e.g. Cat 1 = 52.50, Cat 11 = 27.50 when those are the shares). </w:t>
      </w:r>
      <w:r>
        <w:rPr>
          <w:b/>
          <w:i w:val="0"/>
        </w:rPr>
        <w:t>Weighted</w:t>
      </w:r>
      <w:r>
        <w:rPr>
          <w:i w:val="0"/>
        </w:rPr>
        <w:t xml:space="preserve"> = weight × category score ÷ 100 — actual document points earned. </w:t>
      </w:r>
      <w:r>
        <w:rPr>
          <w:b/>
          <w:i w:val="0"/>
        </w:rPr>
        <w:t>net</w:t>
      </w:r>
      <w:r>
        <w:rPr>
          <w:i w:val="0"/>
        </w:rPr>
        <w:t xml:space="preserve"> = verbatim × 1.0 + numbering_error near-misses × 0.90 + truncation near-misses × 0.50; misses × 0; extras × 0 (extras increase </w:t>
      </w:r>
      <w:r>
        <w:rPr>
          <w:b/>
          <w:i w:val="0"/>
        </w:rPr>
        <w:t>generated_count</w:t>
      </w:r>
      <w:r>
        <w:rPr>
          <w:i w:val="0"/>
        </w:rPr>
        <w:t xml:space="preserve"> only, pulling precision down). </w:t>
      </w:r>
      <w:r>
        <w:rPr>
          <w:b/>
          <w:i w:val="0"/>
        </w:rPr>
        <w:t>precision</w:t>
      </w:r>
      <w:r>
        <w:rPr>
          <w:i w:val="0"/>
        </w:rPr>
        <w:t xml:space="preserve"> = net ÷ generated_count · </w:t>
      </w:r>
      <w:r>
        <w:rPr>
          <w:b/>
          <w:i w:val="0"/>
        </w:rPr>
        <w:t>recall</w:t>
      </w:r>
      <w:r>
        <w:rPr>
          <w:i w:val="0"/>
        </w:rPr>
        <w:t xml:space="preserve"> = net ÷ gt_count · </w:t>
      </w:r>
      <w:r>
        <w:rPr>
          <w:b/>
          <w:i w:val="0"/>
        </w:rPr>
        <w:t>Score</w:t>
      </w:r>
      <w:r>
        <w:rPr>
          <w:i w:val="0"/>
        </w:rPr>
        <w:t xml:space="preserve"> = F1(precision, recall) × 100. Empty-GT categories: M3 rules; weight —. </w:t>
      </w:r>
      <w:r>
        <w:rPr>
          <w:b/>
          <w:i w:val="0"/>
        </w:rPr>
        <w:t>Subcats</w:t>
      </w:r>
      <w:r>
        <w:rPr>
          <w:i w:val="0"/>
        </w:rPr>
        <w:t xml:space="preserve"> = pass/GT (verbatim + near-miss pairs vs GT count). </w:t>
      </w:r>
      <w:r>
        <w:rPr>
          <w:b/>
          <w:i w:val="0"/>
        </w:rPr>
        <w:t>Status</w:t>
      </w:r>
      <w:r>
        <w:rPr>
          <w:i w:val="0"/>
        </w:rPr>
        <w:t xml:space="preserve"> = short match/miss/extra summary.</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2808"/>
            <w:shd w:fill="D9E2F3"/>
          </w:tcPr>
          <w:p>
            <w:r>
              <w:rPr>
                <w:rFonts w:ascii="Arial" w:hAnsi="Arial"/>
                <w:b/>
                <w:sz w:val="18"/>
              </w:rPr>
              <w:t>Category</w:t>
            </w:r>
          </w:p>
        </w:tc>
        <w:tc>
          <w:tcPr>
            <w:tcW w:type="dxa" w:w="893"/>
            <w:shd w:fill="D9E2F3"/>
          </w:tcPr>
          <w:p>
            <w:r>
              <w:rPr>
                <w:rFonts w:ascii="Arial" w:hAnsi="Arial"/>
                <w:b/>
                <w:sz w:val="18"/>
              </w:rPr>
              <w:t>Weight</w:t>
            </w:r>
          </w:p>
        </w:tc>
        <w:tc>
          <w:tcPr>
            <w:tcW w:type="dxa" w:w="893"/>
            <w:shd w:fill="D9E2F3"/>
          </w:tcPr>
          <w:p>
            <w:r>
              <w:rPr>
                <w:rFonts w:ascii="Arial" w:hAnsi="Arial"/>
                <w:b/>
                <w:sz w:val="18"/>
              </w:rPr>
              <w:t>Weighted</w:t>
            </w:r>
          </w:p>
        </w:tc>
        <w:tc>
          <w:tcPr>
            <w:tcW w:type="dxa" w:w="1037"/>
            <w:shd w:fill="D9E2F3"/>
          </w:tcPr>
          <w:p>
            <w:r>
              <w:rPr>
                <w:rFonts w:ascii="Arial" w:hAnsi="Arial"/>
                <w:b/>
                <w:sz w:val="18"/>
              </w:rPr>
              <w:t>Score</w:t>
            </w:r>
          </w:p>
        </w:tc>
        <w:tc>
          <w:tcPr>
            <w:tcW w:type="dxa" w:w="792"/>
            <w:shd w:fill="D9E2F3"/>
          </w:tcPr>
          <w:p>
            <w:r>
              <w:rPr>
                <w:rFonts w:ascii="Arial" w:hAnsi="Arial"/>
                <w:b/>
                <w:sz w:val="18"/>
              </w:rPr>
              <w:t>Subcats</w:t>
            </w:r>
          </w:p>
        </w:tc>
        <w:tc>
          <w:tcPr>
            <w:tcW w:type="dxa" w:w="2664"/>
            <w:shd w:fill="D9E2F3"/>
          </w:tcPr>
          <w:p>
            <w:r>
              <w:rPr>
                <w:rFonts w:ascii="Arial" w:hAnsi="Arial"/>
                <w:b/>
                <w:sz w:val="18"/>
              </w:rPr>
              <w:t>Status</w:t>
            </w:r>
          </w:p>
        </w:tc>
      </w:tr>
      <w:tr>
        <w:tc>
          <w:tcPr>
            <w:tcW w:type="dxa" w:w="2808"/>
          </w:tcPr>
          <w:p>
            <w:r>
              <w:rPr>
                <w:rFonts w:ascii="Arial" w:hAnsi="Arial"/>
                <w:sz w:val="18"/>
              </w:rPr>
              <w:t>Cat 1. Inclusion/Exclusion Criteria</w:t>
            </w:r>
          </w:p>
        </w:tc>
        <w:tc>
          <w:tcPr>
            <w:tcW w:type="dxa" w:w="893"/>
          </w:tcPr>
          <w:p>
            <w:r>
              <w:rPr>
                <w:rFonts w:ascii="Arial" w:hAnsi="Arial"/>
                <w:sz w:val="18"/>
              </w:rPr>
              <w:t>40.82%</w:t>
            </w:r>
          </w:p>
        </w:tc>
        <w:tc>
          <w:tcPr>
            <w:tcW w:type="dxa" w:w="893"/>
          </w:tcPr>
          <w:p>
            <w:r>
              <w:rPr>
                <w:rFonts w:ascii="Arial" w:hAnsi="Arial"/>
                <w:sz w:val="18"/>
              </w:rPr>
              <w:t>3.14</w:t>
            </w:r>
          </w:p>
        </w:tc>
        <w:tc>
          <w:tcPr>
            <w:tcW w:type="dxa" w:w="1037"/>
          </w:tcPr>
          <w:p>
            <w:r>
              <w:rPr>
                <w:rFonts w:ascii="Arial" w:hAnsi="Arial"/>
                <w:sz w:val="18"/>
              </w:rPr>
              <w:t>7.7 / 100</w:t>
            </w:r>
          </w:p>
        </w:tc>
        <w:tc>
          <w:tcPr>
            <w:tcW w:type="dxa" w:w="792"/>
          </w:tcPr>
          <w:p>
            <w:r>
              <w:rPr>
                <w:rFonts w:ascii="Arial" w:hAnsi="Arial"/>
                <w:sz w:val="18"/>
              </w:rPr>
              <w:t>1/20</w:t>
            </w:r>
          </w:p>
        </w:tc>
        <w:tc>
          <w:tcPr>
            <w:tcW w:type="dxa" w:w="2664"/>
          </w:tcPr>
          <w:p>
            <w:r>
              <w:rPr>
                <w:rFonts w:ascii="Arial" w:hAnsi="Arial"/>
                <w:sz w:val="18"/>
              </w:rPr>
              <w:t>1 verbatim, 19 misses, 5 extra (precision risk) — see Section 3</w:t>
            </w:r>
          </w:p>
        </w:tc>
      </w:tr>
      <w:tr>
        <w:tc>
          <w:tcPr>
            <w:tcW w:type="dxa" w:w="2808"/>
          </w:tcPr>
          <w:p>
            <w:r>
              <w:rPr>
                <w:rFonts w:ascii="Arial" w:hAnsi="Arial"/>
                <w:sz w:val="18"/>
              </w:rPr>
              <w:t>Cat 2. Investigational Product</w:t>
            </w:r>
          </w:p>
        </w:tc>
        <w:tc>
          <w:tcPr>
            <w:tcW w:type="dxa" w:w="893"/>
          </w:tcPr>
          <w:p>
            <w:r>
              <w:rPr>
                <w:rFonts w:ascii="Arial" w:hAnsi="Arial"/>
                <w:sz w:val="18"/>
              </w:rPr>
              <w:t>14.29%</w:t>
            </w:r>
          </w:p>
        </w:tc>
        <w:tc>
          <w:tcPr>
            <w:tcW w:type="dxa" w:w="893"/>
          </w:tcPr>
          <w:p>
            <w:r>
              <w:rPr>
                <w:rFonts w:ascii="Arial" w:hAnsi="Arial"/>
                <w:sz w:val="18"/>
              </w:rPr>
              <w:t>4.09</w:t>
            </w:r>
          </w:p>
        </w:tc>
        <w:tc>
          <w:tcPr>
            <w:tcW w:type="dxa" w:w="1037"/>
          </w:tcPr>
          <w:p>
            <w:r>
              <w:rPr>
                <w:rFonts w:ascii="Arial" w:hAnsi="Arial"/>
                <w:sz w:val="18"/>
              </w:rPr>
              <w:t>28.6 / 100</w:t>
            </w:r>
          </w:p>
        </w:tc>
        <w:tc>
          <w:tcPr>
            <w:tcW w:type="dxa" w:w="792"/>
          </w:tcPr>
          <w:p>
            <w:r>
              <w:rPr>
                <w:rFonts w:ascii="Arial" w:hAnsi="Arial"/>
                <w:sz w:val="18"/>
              </w:rPr>
              <w:t>2/7</w:t>
            </w:r>
          </w:p>
        </w:tc>
        <w:tc>
          <w:tcPr>
            <w:tcW w:type="dxa" w:w="2664"/>
          </w:tcPr>
          <w:p>
            <w:r>
              <w:rPr>
                <w:rFonts w:ascii="Arial" w:hAnsi="Arial"/>
                <w:sz w:val="18"/>
              </w:rPr>
              <w:t>2 verbatim, 5 misses, 5 extra (precision risk) — see Section 3</w:t>
            </w:r>
          </w:p>
        </w:tc>
      </w:tr>
      <w:tr>
        <w:tc>
          <w:tcPr>
            <w:tcW w:type="dxa" w:w="2808"/>
          </w:tcPr>
          <w:p>
            <w:r>
              <w:rPr>
                <w:rFonts w:ascii="Arial" w:hAnsi="Arial"/>
                <w:sz w:val="18"/>
              </w:rPr>
              <w:t>Cat 3. Concomitant Medications</w:t>
            </w:r>
          </w:p>
        </w:tc>
        <w:tc>
          <w:tcPr>
            <w:tcW w:type="dxa" w:w="893"/>
          </w:tcPr>
          <w:p>
            <w:r>
              <w:rPr>
                <w:rFonts w:ascii="Arial" w:hAnsi="Arial"/>
                <w:sz w:val="18"/>
              </w:rPr>
              <w:t>6.12%</w:t>
            </w:r>
          </w:p>
        </w:tc>
        <w:tc>
          <w:tcPr>
            <w:tcW w:type="dxa" w:w="893"/>
          </w:tcPr>
          <w:p>
            <w:r>
              <w:rPr>
                <w:rFonts w:ascii="Arial" w:hAnsi="Arial"/>
                <w:sz w:val="18"/>
              </w:rPr>
              <w:t>0.00</w:t>
            </w:r>
          </w:p>
        </w:tc>
        <w:tc>
          <w:tcPr>
            <w:tcW w:type="dxa" w:w="1037"/>
          </w:tcPr>
          <w:p>
            <w:r>
              <w:rPr>
                <w:rFonts w:ascii="Arial" w:hAnsi="Arial"/>
                <w:sz w:val="18"/>
              </w:rPr>
              <w:t>0.0 / 100</w:t>
            </w:r>
          </w:p>
        </w:tc>
        <w:tc>
          <w:tcPr>
            <w:tcW w:type="dxa" w:w="792"/>
          </w:tcPr>
          <w:p>
            <w:r>
              <w:rPr>
                <w:rFonts w:ascii="Arial" w:hAnsi="Arial"/>
                <w:sz w:val="18"/>
              </w:rPr>
              <w:t>1/3</w:t>
            </w:r>
          </w:p>
        </w:tc>
        <w:tc>
          <w:tcPr>
            <w:tcW w:type="dxa" w:w="2664"/>
          </w:tcPr>
          <w:p>
            <w:r>
              <w:rPr>
                <w:rFonts w:ascii="Arial" w:hAnsi="Arial"/>
                <w:sz w:val="18"/>
              </w:rPr>
              <w:t>1 near miss, 2 misses, 3 extra (precision risk) — see Section 3</w:t>
            </w:r>
          </w:p>
        </w:tc>
      </w:tr>
      <w:tr>
        <w:tc>
          <w:tcPr>
            <w:tcW w:type="dxa" w:w="2808"/>
          </w:tcPr>
          <w:p>
            <w:r>
              <w:rPr>
                <w:rFonts w:ascii="Arial" w:hAnsi="Arial"/>
                <w:sz w:val="18"/>
              </w:rPr>
              <w:t>Cat 4. Labs</w:t>
            </w:r>
          </w:p>
        </w:tc>
        <w:tc>
          <w:tcPr>
            <w:tcW w:type="dxa" w:w="893"/>
          </w:tcPr>
          <w:p>
            <w:r>
              <w:rPr>
                <w:rFonts w:ascii="Arial" w:hAnsi="Arial"/>
                <w:sz w:val="18"/>
              </w:rPr>
              <w:t>8.16%</w:t>
            </w:r>
          </w:p>
        </w:tc>
        <w:tc>
          <w:tcPr>
            <w:tcW w:type="dxa" w:w="893"/>
          </w:tcPr>
          <w:p>
            <w:r>
              <w:rPr>
                <w:rFonts w:ascii="Arial" w:hAnsi="Arial"/>
                <w:sz w:val="18"/>
              </w:rPr>
              <w:t>3.26</w:t>
            </w:r>
          </w:p>
        </w:tc>
        <w:tc>
          <w:tcPr>
            <w:tcW w:type="dxa" w:w="1037"/>
          </w:tcPr>
          <w:p>
            <w:r>
              <w:rPr>
                <w:rFonts w:ascii="Arial" w:hAnsi="Arial"/>
                <w:sz w:val="18"/>
              </w:rPr>
              <w:t>40.0 / 100</w:t>
            </w:r>
          </w:p>
        </w:tc>
        <w:tc>
          <w:tcPr>
            <w:tcW w:type="dxa" w:w="792"/>
          </w:tcPr>
          <w:p>
            <w:r>
              <w:rPr>
                <w:rFonts w:ascii="Arial" w:hAnsi="Arial"/>
                <w:sz w:val="18"/>
              </w:rPr>
              <w:t>2/4</w:t>
            </w:r>
          </w:p>
        </w:tc>
        <w:tc>
          <w:tcPr>
            <w:tcW w:type="dxa" w:w="2664"/>
          </w:tcPr>
          <w:p>
            <w:r>
              <w:rPr>
                <w:rFonts w:ascii="Arial" w:hAnsi="Arial"/>
                <w:sz w:val="18"/>
              </w:rPr>
              <w:t>2 verbatim, 2 misses, 4 extra (precision risk) — see Section 3</w:t>
            </w:r>
          </w:p>
        </w:tc>
      </w:tr>
      <w:tr>
        <w:tc>
          <w:tcPr>
            <w:tcW w:type="dxa" w:w="2808"/>
          </w:tcPr>
          <w:p>
            <w:r>
              <w:rPr>
                <w:rFonts w:ascii="Arial" w:hAnsi="Arial"/>
                <w:sz w:val="18"/>
              </w:rPr>
              <w:t>Cat 5. Visit Schedule</w:t>
            </w:r>
          </w:p>
        </w:tc>
        <w:tc>
          <w:tcPr>
            <w:tcW w:type="dxa" w:w="893"/>
          </w:tcPr>
          <w:p>
            <w:r>
              <w:rPr>
                <w:rFonts w:ascii="Arial" w:hAnsi="Arial"/>
                <w:sz w:val="18"/>
              </w:rPr>
              <w:t>2.04%</w:t>
            </w:r>
          </w:p>
        </w:tc>
        <w:tc>
          <w:tcPr>
            <w:tcW w:type="dxa" w:w="893"/>
          </w:tcPr>
          <w:p>
            <w:r>
              <w:rPr>
                <w:rFonts w:ascii="Arial" w:hAnsi="Arial"/>
                <w:sz w:val="18"/>
              </w:rPr>
              <w:t>0.00</w:t>
            </w:r>
          </w:p>
        </w:tc>
        <w:tc>
          <w:tcPr>
            <w:tcW w:type="dxa" w:w="1037"/>
          </w:tcPr>
          <w:p>
            <w:r>
              <w:rPr>
                <w:rFonts w:ascii="Arial" w:hAnsi="Arial"/>
                <w:sz w:val="18"/>
              </w:rPr>
              <w:t>0.0 / 100</w:t>
            </w:r>
          </w:p>
        </w:tc>
        <w:tc>
          <w:tcPr>
            <w:tcW w:type="dxa" w:w="792"/>
          </w:tcPr>
          <w:p>
            <w:r>
              <w:rPr>
                <w:rFonts w:ascii="Arial" w:hAnsi="Arial"/>
                <w:sz w:val="18"/>
              </w:rPr>
              <w:t>1/1</w:t>
            </w:r>
          </w:p>
        </w:tc>
        <w:tc>
          <w:tcPr>
            <w:tcW w:type="dxa" w:w="2664"/>
          </w:tcPr>
          <w:p>
            <w:r>
              <w:rPr>
                <w:rFonts w:ascii="Arial" w:hAnsi="Arial"/>
                <w:sz w:val="18"/>
              </w:rPr>
              <w:t>1 near miss, 4 extra (precision risk) — see Section 3</w:t>
            </w:r>
          </w:p>
        </w:tc>
      </w:tr>
      <w:tr>
        <w:tc>
          <w:tcPr>
            <w:tcW w:type="dxa" w:w="2808"/>
          </w:tcPr>
          <w:p>
            <w:r>
              <w:rPr>
                <w:rFonts w:ascii="Arial" w:hAnsi="Arial"/>
                <w:sz w:val="18"/>
              </w:rPr>
              <w:t>Cat 6. Procedures and Tests</w:t>
            </w:r>
          </w:p>
        </w:tc>
        <w:tc>
          <w:tcPr>
            <w:tcW w:type="dxa" w:w="893"/>
          </w:tcPr>
          <w:p>
            <w:r>
              <w:rPr>
                <w:rFonts w:ascii="Arial" w:hAnsi="Arial"/>
                <w:sz w:val="18"/>
              </w:rPr>
              <w:t>4.08%</w:t>
            </w:r>
          </w:p>
        </w:tc>
        <w:tc>
          <w:tcPr>
            <w:tcW w:type="dxa" w:w="893"/>
          </w:tcPr>
          <w:p>
            <w:r>
              <w:rPr>
                <w:rFonts w:ascii="Arial" w:hAnsi="Arial"/>
                <w:sz w:val="18"/>
              </w:rPr>
              <w:t>0.00</w:t>
            </w:r>
          </w:p>
        </w:tc>
        <w:tc>
          <w:tcPr>
            <w:tcW w:type="dxa" w:w="1037"/>
          </w:tcPr>
          <w:p>
            <w:r>
              <w:rPr>
                <w:rFonts w:ascii="Arial" w:hAnsi="Arial"/>
                <w:sz w:val="18"/>
              </w:rPr>
              <w:t>0.0 / 100</w:t>
            </w:r>
          </w:p>
        </w:tc>
        <w:tc>
          <w:tcPr>
            <w:tcW w:type="dxa" w:w="792"/>
          </w:tcPr>
          <w:p>
            <w:r>
              <w:rPr>
                <w:rFonts w:ascii="Arial" w:hAnsi="Arial"/>
                <w:sz w:val="18"/>
              </w:rPr>
              <w:t>2/2</w:t>
            </w:r>
          </w:p>
        </w:tc>
        <w:tc>
          <w:tcPr>
            <w:tcW w:type="dxa" w:w="2664"/>
          </w:tcPr>
          <w:p>
            <w:r>
              <w:rPr>
                <w:rFonts w:ascii="Arial" w:hAnsi="Arial"/>
                <w:sz w:val="18"/>
              </w:rPr>
              <w:t>2 near miss, 5 extra (precision risk) — see Section 3</w:t>
            </w:r>
          </w:p>
        </w:tc>
      </w:tr>
      <w:tr>
        <w:tc>
          <w:tcPr>
            <w:tcW w:type="dxa" w:w="2808"/>
          </w:tcPr>
          <w:p>
            <w:r>
              <w:rPr>
                <w:rFonts w:ascii="Arial" w:hAnsi="Arial"/>
                <w:sz w:val="18"/>
              </w:rPr>
              <w:t>Cat 7. Randomization</w:t>
            </w:r>
          </w:p>
        </w:tc>
        <w:tc>
          <w:tcPr>
            <w:tcW w:type="dxa" w:w="893"/>
          </w:tcPr>
          <w:p>
            <w:r>
              <w:rPr>
                <w:rFonts w:ascii="Arial" w:hAnsi="Arial"/>
                <w:sz w:val="18"/>
              </w:rPr>
              <w:t>6.12%</w:t>
            </w:r>
          </w:p>
        </w:tc>
        <w:tc>
          <w:tcPr>
            <w:tcW w:type="dxa" w:w="893"/>
          </w:tcPr>
          <w:p>
            <w:r>
              <w:rPr>
                <w:rFonts w:ascii="Arial" w:hAnsi="Arial"/>
                <w:sz w:val="18"/>
              </w:rPr>
              <w:t>0.00</w:t>
            </w:r>
          </w:p>
        </w:tc>
        <w:tc>
          <w:tcPr>
            <w:tcW w:type="dxa" w:w="1037"/>
          </w:tcPr>
          <w:p>
            <w:r>
              <w:rPr>
                <w:rFonts w:ascii="Arial" w:hAnsi="Arial"/>
                <w:sz w:val="18"/>
              </w:rPr>
              <w:t>0.0 / 100</w:t>
            </w:r>
          </w:p>
        </w:tc>
        <w:tc>
          <w:tcPr>
            <w:tcW w:type="dxa" w:w="792"/>
          </w:tcPr>
          <w:p>
            <w:r>
              <w:rPr>
                <w:rFonts w:ascii="Arial" w:hAnsi="Arial"/>
                <w:sz w:val="18"/>
              </w:rPr>
              <w:t>0/3</w:t>
            </w:r>
          </w:p>
        </w:tc>
        <w:tc>
          <w:tcPr>
            <w:tcW w:type="dxa" w:w="2664"/>
          </w:tcPr>
          <w:p>
            <w:r>
              <w:rPr>
                <w:rFonts w:ascii="Arial" w:hAnsi="Arial"/>
                <w:sz w:val="18"/>
              </w:rPr>
              <w:t>3 misses, 6 extra (precision risk) — see Section 3</w:t>
            </w:r>
          </w:p>
        </w:tc>
      </w:tr>
      <w:tr>
        <w:tc>
          <w:tcPr>
            <w:tcW w:type="dxa" w:w="2808"/>
          </w:tcPr>
          <w:p>
            <w:r>
              <w:rPr>
                <w:rFonts w:ascii="Arial" w:hAnsi="Arial"/>
                <w:sz w:val="18"/>
              </w:rPr>
              <w:t>Cat 8. Safety Reporting</w:t>
            </w:r>
          </w:p>
        </w:tc>
        <w:tc>
          <w:tcPr>
            <w:tcW w:type="dxa" w:w="893"/>
          </w:tcPr>
          <w:p>
            <w:r>
              <w:rPr>
                <w:rFonts w:ascii="Arial" w:hAnsi="Arial"/>
                <w:sz w:val="18"/>
              </w:rPr>
              <w:t>6.12%</w:t>
            </w:r>
          </w:p>
        </w:tc>
        <w:tc>
          <w:tcPr>
            <w:tcW w:type="dxa" w:w="893"/>
          </w:tcPr>
          <w:p>
            <w:r>
              <w:rPr>
                <w:rFonts w:ascii="Arial" w:hAnsi="Arial"/>
                <w:sz w:val="18"/>
              </w:rPr>
              <w:t>1.75</w:t>
            </w:r>
          </w:p>
        </w:tc>
        <w:tc>
          <w:tcPr>
            <w:tcW w:type="dxa" w:w="1037"/>
          </w:tcPr>
          <w:p>
            <w:r>
              <w:rPr>
                <w:rFonts w:ascii="Arial" w:hAnsi="Arial"/>
                <w:sz w:val="18"/>
              </w:rPr>
              <w:t>28.6 / 100</w:t>
            </w:r>
          </w:p>
        </w:tc>
        <w:tc>
          <w:tcPr>
            <w:tcW w:type="dxa" w:w="792"/>
          </w:tcPr>
          <w:p>
            <w:r>
              <w:rPr>
                <w:rFonts w:ascii="Arial" w:hAnsi="Arial"/>
                <w:sz w:val="18"/>
              </w:rPr>
              <w:t>3/3</w:t>
            </w:r>
          </w:p>
        </w:tc>
        <w:tc>
          <w:tcPr>
            <w:tcW w:type="dxa" w:w="2664"/>
          </w:tcPr>
          <w:p>
            <w:r>
              <w:rPr>
                <w:rFonts w:ascii="Arial" w:hAnsi="Arial"/>
                <w:sz w:val="18"/>
              </w:rPr>
              <w:t>1 verbatim, 2 near miss, 1 extra (precision risk) — see Section 3</w:t>
            </w:r>
          </w:p>
        </w:tc>
      </w:tr>
      <w:tr>
        <w:tc>
          <w:tcPr>
            <w:tcW w:type="dxa" w:w="2808"/>
          </w:tcPr>
          <w:p>
            <w:r>
              <w:rPr>
                <w:rFonts w:ascii="Arial" w:hAnsi="Arial"/>
                <w:sz w:val="18"/>
              </w:rPr>
              <w:t>Cat 9. Discontinuation Criteria</w:t>
            </w:r>
          </w:p>
        </w:tc>
        <w:tc>
          <w:tcPr>
            <w:tcW w:type="dxa" w:w="893"/>
          </w:tcPr>
          <w:p>
            <w:r>
              <w:rPr>
                <w:rFonts w:ascii="Arial" w:hAnsi="Arial"/>
                <w:sz w:val="18"/>
              </w:rPr>
              <w:t>4.08%</w:t>
            </w:r>
          </w:p>
        </w:tc>
        <w:tc>
          <w:tcPr>
            <w:tcW w:type="dxa" w:w="893"/>
          </w:tcPr>
          <w:p>
            <w:r>
              <w:rPr>
                <w:rFonts w:ascii="Arial" w:hAnsi="Arial"/>
                <w:sz w:val="18"/>
              </w:rPr>
              <w:t>0.00</w:t>
            </w:r>
          </w:p>
        </w:tc>
        <w:tc>
          <w:tcPr>
            <w:tcW w:type="dxa" w:w="1037"/>
          </w:tcPr>
          <w:p>
            <w:r>
              <w:rPr>
                <w:rFonts w:ascii="Arial" w:hAnsi="Arial"/>
                <w:sz w:val="18"/>
              </w:rPr>
              <w:t>0.0 / 100</w:t>
            </w:r>
          </w:p>
        </w:tc>
        <w:tc>
          <w:tcPr>
            <w:tcW w:type="dxa" w:w="792"/>
          </w:tcPr>
          <w:p>
            <w:r>
              <w:rPr>
                <w:rFonts w:ascii="Arial" w:hAnsi="Arial"/>
                <w:sz w:val="18"/>
              </w:rPr>
              <w:t>2/2</w:t>
            </w:r>
          </w:p>
        </w:tc>
        <w:tc>
          <w:tcPr>
            <w:tcW w:type="dxa" w:w="2664"/>
          </w:tcPr>
          <w:p>
            <w:r>
              <w:rPr>
                <w:rFonts w:ascii="Arial" w:hAnsi="Arial"/>
                <w:sz w:val="18"/>
              </w:rPr>
              <w:t>2 near miss, 2 extra (precision risk) — see Section 3</w:t>
            </w:r>
          </w:p>
        </w:tc>
      </w:tr>
      <w:tr>
        <w:tc>
          <w:tcPr>
            <w:tcW w:type="dxa" w:w="2808"/>
          </w:tcPr>
          <w:p>
            <w:r>
              <w:rPr>
                <w:rFonts w:ascii="Arial" w:hAnsi="Arial"/>
                <w:sz w:val="18"/>
              </w:rPr>
              <w:t>Cat 10. Other</w:t>
            </w:r>
          </w:p>
        </w:tc>
        <w:tc>
          <w:tcPr>
            <w:tcW w:type="dxa" w:w="893"/>
          </w:tcPr>
          <w:p>
            <w:r>
              <w:rPr>
                <w:rFonts w:ascii="Arial" w:hAnsi="Arial"/>
                <w:sz w:val="18"/>
              </w:rPr>
              <w:t>—</w:t>
            </w:r>
          </w:p>
        </w:tc>
        <w:tc>
          <w:tcPr>
            <w:tcW w:type="dxa" w:w="893"/>
          </w:tcPr>
          <w:p>
            <w:r>
              <w:rPr>
                <w:rFonts w:ascii="Arial" w:hAnsi="Arial"/>
                <w:sz w:val="18"/>
              </w:rPr>
              <w:t>0.00</w:t>
            </w:r>
          </w:p>
        </w:tc>
        <w:tc>
          <w:tcPr>
            <w:tcW w:type="dxa" w:w="1037"/>
          </w:tcPr>
          <w:p>
            <w:r>
              <w:rPr>
                <w:rFonts w:ascii="Arial" w:hAnsi="Arial"/>
                <w:sz w:val="18"/>
              </w:rPr>
              <w:t>0.0 / 100</w:t>
            </w:r>
          </w:p>
        </w:tc>
        <w:tc>
          <w:tcPr>
            <w:tcW w:type="dxa" w:w="792"/>
          </w:tcPr>
          <w:p>
            <w:r>
              <w:rPr>
                <w:rFonts w:ascii="Arial" w:hAnsi="Arial"/>
                <w:sz w:val="18"/>
              </w:rPr>
              <w:t>—</w:t>
            </w:r>
          </w:p>
        </w:tc>
        <w:tc>
          <w:tcPr>
            <w:tcW w:type="dxa" w:w="2664"/>
          </w:tcPr>
          <w:p>
            <w:r>
              <w:rPr>
                <w:rFonts w:ascii="Arial" w:hAnsi="Arial"/>
                <w:sz w:val="18"/>
              </w:rPr>
              <w:t>none_identified mismatch — see Section 3</w:t>
            </w:r>
          </w:p>
        </w:tc>
      </w:tr>
      <w:tr>
        <w:tc>
          <w:tcPr>
            <w:tcW w:type="dxa" w:w="2808"/>
          </w:tcPr>
          <w:p>
            <w:r>
              <w:rPr>
                <w:rFonts w:ascii="Arial" w:hAnsi="Arial"/>
                <w:sz w:val="18"/>
              </w:rPr>
              <w:t>Cat 11. Informed Consent</w:t>
            </w:r>
          </w:p>
        </w:tc>
        <w:tc>
          <w:tcPr>
            <w:tcW w:type="dxa" w:w="893"/>
          </w:tcPr>
          <w:p>
            <w:r>
              <w:rPr>
                <w:rFonts w:ascii="Arial" w:hAnsi="Arial"/>
                <w:sz w:val="18"/>
              </w:rPr>
              <w:t>8.16%</w:t>
            </w:r>
          </w:p>
        </w:tc>
        <w:tc>
          <w:tcPr>
            <w:tcW w:type="dxa" w:w="893"/>
          </w:tcPr>
          <w:p>
            <w:r>
              <w:rPr>
                <w:rFonts w:ascii="Arial" w:hAnsi="Arial"/>
                <w:sz w:val="18"/>
              </w:rPr>
              <w:t>3.26</w:t>
            </w:r>
          </w:p>
        </w:tc>
        <w:tc>
          <w:tcPr>
            <w:tcW w:type="dxa" w:w="1037"/>
          </w:tcPr>
          <w:p>
            <w:r>
              <w:rPr>
                <w:rFonts w:ascii="Arial" w:hAnsi="Arial"/>
                <w:sz w:val="18"/>
              </w:rPr>
              <w:t>40.0 / 100</w:t>
            </w:r>
          </w:p>
        </w:tc>
        <w:tc>
          <w:tcPr>
            <w:tcW w:type="dxa" w:w="792"/>
          </w:tcPr>
          <w:p>
            <w:r>
              <w:rPr>
                <w:rFonts w:ascii="Arial" w:hAnsi="Arial"/>
                <w:sz w:val="18"/>
              </w:rPr>
              <w:t>3/4</w:t>
            </w:r>
          </w:p>
        </w:tc>
        <w:tc>
          <w:tcPr>
            <w:tcW w:type="dxa" w:w="2664"/>
          </w:tcPr>
          <w:p>
            <w:r>
              <w:rPr>
                <w:rFonts w:ascii="Arial" w:hAnsi="Arial"/>
                <w:sz w:val="18"/>
              </w:rPr>
              <w:t>2 verbatim, 1 near miss, 1 miss, 3 extra (precision risk) — see Section 3</w:t>
            </w:r>
          </w:p>
        </w:tc>
      </w:tr>
    </w:tbl>
    <w:p/>
    <w:p>
      <w:pPr>
        <w:spacing w:before="200" w:after="80"/>
      </w:pPr>
      <w:r>
        <w:rPr>
          <w:b/>
          <w:sz w:val="22"/>
        </w:rPr>
        <w:t>3. Category Detail</w:t>
      </w:r>
    </w:p>
    <w:p>
      <w:pPr>
        <w:ind w:left="360"/>
      </w:pPr>
      <w:r>
        <w:rPr>
          <w:b/>
          <w:i w:val="0"/>
        </w:rPr>
        <w:t>⚠ EMPTY CATEGORIES GENERATED</w:t>
      </w:r>
      <w:r>
        <w:rPr>
          <w:i w:val="0"/>
        </w:rPr>
        <w:t xml:space="preserve"> — GT has no subcategories for this protocol, but generator produced them:</w:t>
      </w:r>
    </w:p>
    <w:p>
      <w:pPr>
        <w:ind w:left="360"/>
      </w:pPr>
      <w:r>
        <w:rPr>
          <w:i w:val="0"/>
        </w:rPr>
        <w:t>- Cat 10. Other (4 generated extra subcategory(ies))</w:t>
      </w:r>
    </w:p>
    <w:p>
      <w:pPr>
        <w:spacing w:before="200" w:after="80"/>
      </w:pPr>
      <w:r>
        <w:rPr>
          <w:b/>
          <w:sz w:val="22"/>
        </w:rPr>
        <w:t>Category 1 — Category 1</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Pending Site Monitor Action Inc/Excl</w:t>
            </w:r>
          </w:p>
        </w:tc>
        <w:tc>
          <w:tcPr>
            <w:tcW w:type="dxa" w:w="720"/>
          </w:tcPr>
          <w:p>
            <w:r>
              <w:rPr>
                <w:rFonts w:ascii="Arial" w:hAnsi="Arial"/>
                <w:sz w:val="18"/>
              </w:rPr>
              <w:t>100</w:t>
            </w:r>
          </w:p>
        </w:tc>
        <w:tc>
          <w:tcPr>
            <w:tcW w:type="dxa" w:w="864"/>
          </w:tcPr>
          <w:p>
            <w:r>
              <w:rPr>
                <w:rFonts w:ascii="Arial" w:hAnsi="Arial"/>
                <w:sz w:val="18"/>
              </w:rPr>
              <w:t>Verbatim</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r>
        <w:tc>
          <w:tcPr>
            <w:tcW w:type="dxa" w:w="3168"/>
          </w:tcPr>
          <w:p>
            <w:r>
              <w:rPr>
                <w:rFonts w:ascii="Arial" w:hAnsi="Arial"/>
                <w:sz w:val="18"/>
              </w:rPr>
              <w:t>Contraception not confirmed/used prior to Day 1 as required per protocol</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r>
        <w:tc>
          <w:tcPr>
            <w:tcW w:type="dxa" w:w="3168"/>
          </w:tcPr>
          <w:p>
            <w:r>
              <w:rPr>
                <w:rFonts w:ascii="Arial" w:hAnsi="Arial"/>
                <w:sz w:val="18"/>
              </w:rPr>
              <w:t>Participant did not meet one or more inclusion criteria but was randomized to the study treatment</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r>
        <w:tc>
          <w:tcPr>
            <w:tcW w:type="dxa" w:w="3168"/>
          </w:tcPr>
          <w:p>
            <w:r>
              <w:rPr>
                <w:rFonts w:ascii="Arial" w:hAnsi="Arial"/>
                <w:sz w:val="18"/>
              </w:rPr>
              <w:t>Participant met all eligibility criteria but source documentation is incomplete or missing</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r>
        <w:tc>
          <w:tcPr>
            <w:tcW w:type="dxa" w:w="3168"/>
          </w:tcPr>
          <w:p>
            <w:r>
              <w:rPr>
                <w:rFonts w:ascii="Arial" w:hAnsi="Arial"/>
                <w:sz w:val="18"/>
              </w:rPr>
              <w:t>Participant met all eligibility criteria but was randomized prior to assessment of all eligibility criteria</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r>
        <w:tc>
          <w:tcPr>
            <w:tcW w:type="dxa" w:w="3168"/>
          </w:tcPr>
          <w:p>
            <w:r>
              <w:rPr>
                <w:rFonts w:ascii="Arial" w:hAnsi="Arial"/>
                <w:sz w:val="18"/>
              </w:rPr>
              <w:t>Participant met one or more exclusion criteria but was randomized to the study treatment</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bl>
    <w:p/>
    <w:p>
      <w:pPr>
        <w:ind w:left="360"/>
      </w:pPr>
      <w:r>
        <w:rPr>
          <w:b/>
          <w:i w:val="0"/>
        </w:rPr>
        <w:t>MISS:</w:t>
      </w:r>
      <w:r>
        <w:rPr>
          <w:i w:val="0"/>
        </w:rPr>
        <w:t xml:space="preserve"> Excl 1 met: Current or anticipated need for hospitalization within 24 hours. — not generated.</w:t>
      </w:r>
    </w:p>
    <w:p>
      <w:pPr>
        <w:ind w:left="360"/>
      </w:pPr>
      <w:r>
        <w:rPr>
          <w:b/>
          <w:i w:val="0"/>
        </w:rPr>
        <w:t>MISS:</w:t>
      </w:r>
      <w:r>
        <w:rPr>
          <w:i w:val="0"/>
        </w:rPr>
        <w:t xml:space="preserve"> Excl 10 met: Current use of any prohibited concomitant medication(s). — not generated.</w:t>
      </w:r>
    </w:p>
    <w:p>
      <w:pPr>
        <w:ind w:left="360"/>
      </w:pPr>
      <w:r>
        <w:rPr>
          <w:b/>
          <w:i w:val="0"/>
        </w:rPr>
        <w:t>MISS:</w:t>
      </w:r>
      <w:r>
        <w:rPr>
          <w:i w:val="0"/>
        </w:rPr>
        <w:t xml:space="preserve"> Excl 11 met: Has received any other antiviral or COVID-19 mAbs for the treatment of COVID-19 within 30 days or 5 half-lives prior to screening or covalescent COVID-19 plasma within 12 months. — not generated.</w:t>
      </w:r>
    </w:p>
    <w:p>
      <w:pPr>
        <w:ind w:left="360"/>
      </w:pPr>
      <w:r>
        <w:rPr>
          <w:b/>
          <w:i w:val="0"/>
        </w:rPr>
        <w:t>MISS:</w:t>
      </w:r>
      <w:r>
        <w:rPr>
          <w:i w:val="0"/>
        </w:rPr>
        <w:t xml:space="preserve"> Excl 12 met: Received any dose of a COVID-19 vaccine within 4 months of randomization or expected to receive one through Day 34. — not generated.</w:t>
      </w:r>
    </w:p>
    <w:p>
      <w:pPr>
        <w:ind w:left="360"/>
      </w:pPr>
      <w:r>
        <w:rPr>
          <w:b/>
          <w:i w:val="0"/>
        </w:rPr>
        <w:t>MISS:</w:t>
      </w:r>
      <w:r>
        <w:rPr>
          <w:i w:val="0"/>
        </w:rPr>
        <w:t xml:space="preserve"> Excl 13 met: Previous administration of an investigational product (drug or vaccine) within 30 days or 5 half-lives (whichever is longer) preceding the first dose of study intervention. — not generated.</w:t>
      </w:r>
    </w:p>
    <w:p>
      <w:pPr>
        <w:ind w:left="360"/>
      </w:pPr>
      <w:r>
        <w:rPr>
          <w:b/>
          <w:i w:val="0"/>
        </w:rPr>
        <w:t>MISS:</w:t>
      </w:r>
      <w:r>
        <w:rPr>
          <w:i w:val="0"/>
        </w:rPr>
        <w:t xml:space="preserve"> Excl 14 met: Prior participation in this clinical trial orany other clinical trial of ibuzatrelvir. — not generated.</w:t>
      </w:r>
    </w:p>
    <w:p>
      <w:pPr>
        <w:ind w:left="360"/>
      </w:pPr>
      <w:r>
        <w:rPr>
          <w:b/>
          <w:i w:val="0"/>
        </w:rPr>
        <w:t>MISS:</w:t>
      </w:r>
      <w:r>
        <w:rPr>
          <w:i w:val="0"/>
        </w:rPr>
        <w:t xml:space="preserve"> Excl 15 met: Investigator site staff directly involved in study conduct and their family, site staff otherwise supervised by the investigator, and sponsor and sponsor delegate employees directly involved in study conduct and their family. — not generated.</w:t>
      </w:r>
    </w:p>
    <w:p>
      <w:pPr>
        <w:ind w:left="360"/>
      </w:pPr>
      <w:r>
        <w:rPr>
          <w:b/>
          <w:i w:val="0"/>
        </w:rPr>
        <w:t>MISS:</w:t>
      </w:r>
      <w:r>
        <w:rPr>
          <w:i w:val="0"/>
        </w:rPr>
        <w:t xml:space="preserve"> Excl 2 met: Receiving dialysis or have known severe renal impairment (eGFR consistently &lt;30 mL/min/1.73 m^2 for adults or CrCl &lt;30 mL/min for adolescents). — not generated.</w:t>
      </w:r>
    </w:p>
    <w:p>
      <w:pPr>
        <w:ind w:left="360"/>
      </w:pPr>
      <w:r>
        <w:rPr>
          <w:b/>
          <w:i w:val="0"/>
        </w:rPr>
        <w:t>MISS:</w:t>
      </w:r>
      <w:r>
        <w:rPr>
          <w:i w:val="0"/>
        </w:rPr>
        <w:t xml:space="preserve"> Excl 3 met: Active liver disease with AST or ALT &gt;3 ULN, Total bilirubin ≥2 × ULN (for Gilbert’s syndrome, direct bilirubin &gt;ULN is exclusionary) within the past 3 months, or liver function impairment with Class C per Child Pugh classification. — not generated.</w:t>
      </w:r>
    </w:p>
    <w:p>
      <w:pPr>
        <w:ind w:left="360"/>
      </w:pPr>
      <w:r>
        <w:rPr>
          <w:b/>
          <w:i w:val="0"/>
        </w:rPr>
        <w:t>MISS:</w:t>
      </w:r>
      <w:r>
        <w:rPr>
          <w:i w:val="0"/>
        </w:rPr>
        <w:t xml:space="preserve"> Excl 4 met: Suspected or confirmed concurrent active systemicinfection other than COVID-19 that may interfere with the evaluation of response to the study intervention. — not generated.</w:t>
      </w:r>
    </w:p>
    <w:p>
      <w:pPr>
        <w:ind w:left="360"/>
      </w:pPr>
      <w:r>
        <w:rPr>
          <w:b/>
          <w:i w:val="0"/>
        </w:rPr>
        <w:t>MISS:</w:t>
      </w:r>
      <w:r>
        <w:rPr>
          <w:i w:val="0"/>
        </w:rPr>
        <w:t xml:space="preserve"> Excl 5 met: Ongoing Long COVID or PASC diagnosis. — not generated.</w:t>
      </w:r>
    </w:p>
    <w:p>
      <w:pPr>
        <w:ind w:left="360"/>
      </w:pPr>
      <w:r>
        <w:rPr>
          <w:b/>
          <w:i w:val="0"/>
        </w:rPr>
        <w:t>MISS:</w:t>
      </w:r>
      <w:r>
        <w:rPr>
          <w:i w:val="0"/>
        </w:rPr>
        <w:t xml:space="preserve"> Excl 6 met: Severely immunocompromised (see Appendix 13). — not generated.</w:t>
      </w:r>
    </w:p>
    <w:p>
      <w:pPr>
        <w:ind w:left="360"/>
      </w:pPr>
      <w:r>
        <w:rPr>
          <w:b/>
          <w:i w:val="0"/>
        </w:rPr>
        <w:t>MISS:</w:t>
      </w:r>
      <w:r>
        <w:rPr>
          <w:i w:val="0"/>
        </w:rPr>
        <w:t xml:space="preserve"> Excl 7 met: Comorbidity requiring hospitalization and/or surgery within 7 days prior to study entry, or that is considered life threatening within 30 days prior to study entry. — not generated.</w:t>
      </w:r>
    </w:p>
    <w:p>
      <w:pPr>
        <w:ind w:left="360"/>
      </w:pPr>
      <w:r>
        <w:rPr>
          <w:b/>
          <w:i w:val="0"/>
        </w:rPr>
        <w:t>MISS:</w:t>
      </w:r>
      <w:r>
        <w:rPr>
          <w:i w:val="0"/>
        </w:rPr>
        <w:t xml:space="preserve"> Excl 8 met: History of hypersensitivity or other contraindication to any of the components of the study intervention. — not generated.</w:t>
      </w:r>
    </w:p>
    <w:p>
      <w:pPr>
        <w:ind w:left="360"/>
      </w:pPr>
      <w:r>
        <w:rPr>
          <w:b/>
          <w:i w:val="0"/>
        </w:rPr>
        <w:t>MISS:</w:t>
      </w:r>
      <w:r>
        <w:rPr>
          <w:i w:val="0"/>
        </w:rPr>
        <w:t xml:space="preserve"> Excl 9 met: Any medical or psychiatric condition including recent (within the past year) or active suicidal ideation/behavior that makes the participant inappropriate for the study. — not generated.</w:t>
      </w:r>
    </w:p>
    <w:p>
      <w:pPr>
        <w:ind w:left="360"/>
      </w:pPr>
      <w:r>
        <w:rPr>
          <w:b/>
          <w:i w:val="0"/>
        </w:rPr>
        <w:t>MISS:</w:t>
      </w:r>
      <w:r>
        <w:rPr>
          <w:i w:val="0"/>
        </w:rPr>
        <w:t xml:space="preserve"> Incl 1 not met: 12 to &lt;18 years of age, weighing at least 40 kg, or ≥18 years of age of any weight or WOCBP agrees to use highly effective contraception. — not generated.</w:t>
      </w:r>
    </w:p>
    <w:p>
      <w:pPr>
        <w:ind w:left="360"/>
      </w:pPr>
      <w:r>
        <w:rPr>
          <w:b/>
          <w:i w:val="0"/>
        </w:rPr>
        <w:t>MISS:</w:t>
      </w:r>
      <w:r>
        <w:rPr>
          <w:i w:val="0"/>
        </w:rPr>
        <w:t xml:space="preserve"> Incl 2 not met: Presence of risk factors for progression to severe COVID-19 based on age. — not generated.</w:t>
      </w:r>
    </w:p>
    <w:p>
      <w:pPr>
        <w:ind w:left="360"/>
      </w:pPr>
      <w:r>
        <w:rPr>
          <w:b/>
          <w:i w:val="0"/>
        </w:rPr>
        <w:t>MISS:</w:t>
      </w:r>
      <w:r>
        <w:rPr>
          <w:i w:val="0"/>
        </w:rPr>
        <w:t xml:space="preserve"> Incl 3 not met: Positive RAT nasal or NP specimen within 1 day prior to randomization / symptoms onset within 5 days prior to randomization. — not generated.</w:t>
      </w:r>
    </w:p>
    <w:p>
      <w:pPr>
        <w:ind w:left="360"/>
      </w:pPr>
      <w:r>
        <w:rPr>
          <w:b/>
          <w:i w:val="0"/>
        </w:rPr>
        <w:t>MISS:</w:t>
      </w:r>
      <w:r>
        <w:rPr>
          <w:i w:val="0"/>
        </w:rPr>
        <w:t xml:space="preserve"> Incl 4 not met: Unable or unwilling to take nirmatrelvir/ritonavir treatment for reasons listed in Appendix 11. — not generated.</w:t>
      </w:r>
    </w:p>
    <w:p>
      <w:pPr>
        <w:spacing w:before="200" w:after="80"/>
      </w:pPr>
      <w:r>
        <w:rPr>
          <w:b/>
          <w:sz w:val="22"/>
        </w:rPr>
        <w:t>Category 2 — Category 2</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Blind compromised</w:t>
            </w:r>
          </w:p>
        </w:tc>
        <w:tc>
          <w:tcPr>
            <w:tcW w:type="dxa" w:w="720"/>
          </w:tcPr>
          <w:p>
            <w:r>
              <w:rPr>
                <w:rFonts w:ascii="Arial" w:hAnsi="Arial"/>
                <w:sz w:val="18"/>
              </w:rPr>
              <w:t>100</w:t>
            </w:r>
          </w:p>
        </w:tc>
        <w:tc>
          <w:tcPr>
            <w:tcW w:type="dxa" w:w="864"/>
          </w:tcPr>
          <w:p>
            <w:r>
              <w:rPr>
                <w:rFonts w:ascii="Arial" w:hAnsi="Arial"/>
                <w:sz w:val="18"/>
              </w:rPr>
              <w:t>Verbatim</w:t>
            </w:r>
          </w:p>
        </w:tc>
        <w:tc>
          <w:tcPr>
            <w:tcW w:type="dxa" w:w="864"/>
          </w:tcPr>
          <w:p>
            <w:r>
              <w:rPr>
                <w:rFonts w:ascii="Arial" w:hAnsi="Arial"/>
                <w:sz w:val="18"/>
              </w:rPr>
              <w:t>✓</w:t>
            </w:r>
          </w:p>
        </w:tc>
        <w:tc>
          <w:tcPr>
            <w:tcW w:type="dxa" w:w="1512"/>
          </w:tcPr>
          <w:p>
            <w:r>
              <w:rPr>
                <w:rFonts w:ascii="Arial" w:hAnsi="Arial"/>
                <w:sz w:val="18"/>
              </w:rPr>
              <w:t>USDM class: `StudyIntervention`</w:t>
            </w:r>
          </w:p>
        </w:tc>
        <w:tc>
          <w:tcPr>
            <w:tcW w:type="dxa" w:w="720"/>
          </w:tcPr>
          <w:p>
            <w:r>
              <w:rPr>
                <w:rFonts w:ascii="Arial" w:hAnsi="Arial"/>
                <w:sz w:val="18"/>
              </w:rPr>
              <w:t>~</w:t>
            </w:r>
          </w:p>
        </w:tc>
      </w:tr>
      <w:tr>
        <w:tc>
          <w:tcPr>
            <w:tcW w:type="dxa" w:w="3168"/>
          </w:tcPr>
          <w:p>
            <w:r>
              <w:rPr>
                <w:rFonts w:ascii="Arial" w:hAnsi="Arial"/>
                <w:sz w:val="18"/>
              </w:rPr>
              <w:t>Dispensing error</w:t>
            </w:r>
          </w:p>
        </w:tc>
        <w:tc>
          <w:tcPr>
            <w:tcW w:type="dxa" w:w="720"/>
          </w:tcPr>
          <w:p>
            <w:r>
              <w:rPr>
                <w:rFonts w:ascii="Arial" w:hAnsi="Arial"/>
                <w:sz w:val="18"/>
              </w:rPr>
              <w:t>100</w:t>
            </w:r>
          </w:p>
        </w:tc>
        <w:tc>
          <w:tcPr>
            <w:tcW w:type="dxa" w:w="864"/>
          </w:tcPr>
          <w:p>
            <w:r>
              <w:rPr>
                <w:rFonts w:ascii="Arial" w:hAnsi="Arial"/>
                <w:sz w:val="18"/>
              </w:rPr>
              <w:t>Verbatim</w:t>
            </w:r>
          </w:p>
        </w:tc>
        <w:tc>
          <w:tcPr>
            <w:tcW w:type="dxa" w:w="864"/>
          </w:tcPr>
          <w:p>
            <w:r>
              <w:rPr>
                <w:rFonts w:ascii="Arial" w:hAnsi="Arial"/>
                <w:sz w:val="18"/>
              </w:rPr>
              <w:t>✓</w:t>
            </w:r>
          </w:p>
        </w:tc>
        <w:tc>
          <w:tcPr>
            <w:tcW w:type="dxa" w:w="1512"/>
          </w:tcPr>
          <w:p>
            <w:r>
              <w:rPr>
                <w:rFonts w:ascii="Arial" w:hAnsi="Arial"/>
                <w:sz w:val="18"/>
              </w:rPr>
              <w:t>USDM class: `StudyIntervention`</w:t>
            </w:r>
          </w:p>
        </w:tc>
        <w:tc>
          <w:tcPr>
            <w:tcW w:type="dxa" w:w="720"/>
          </w:tcPr>
          <w:p>
            <w:r>
              <w:rPr>
                <w:rFonts w:ascii="Arial" w:hAnsi="Arial"/>
                <w:sz w:val="18"/>
              </w:rPr>
              <w:t>~</w:t>
            </w:r>
          </w:p>
        </w:tc>
      </w:tr>
      <w:tr>
        <w:tc>
          <w:tcPr>
            <w:tcW w:type="dxa" w:w="3168"/>
          </w:tcPr>
          <w:p>
            <w:r>
              <w:rPr>
                <w:rFonts w:ascii="Arial" w:hAnsi="Arial"/>
                <w:sz w:val="18"/>
              </w:rPr>
              <w:t>IP accountability not done</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Medication Error: Administration of IP by wrong subject, or at the wrong time, or at wrong dose, or other use outside the protocol</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`StudyIntervention`</w:t>
            </w:r>
          </w:p>
        </w:tc>
        <w:tc>
          <w:tcPr>
            <w:tcW w:type="dxa" w:w="720"/>
          </w:tcPr>
          <w:p>
            <w:r>
              <w:rPr>
                <w:rFonts w:ascii="Arial" w:hAnsi="Arial"/>
                <w:sz w:val="18"/>
              </w:rPr>
              <w:t>~</w:t>
            </w:r>
          </w:p>
        </w:tc>
      </w:tr>
      <w:tr>
        <w:tc>
          <w:tcPr>
            <w:tcW w:type="dxa" w:w="3168"/>
          </w:tcPr>
          <w:p>
            <w:r>
              <w:rPr>
                <w:rFonts w:ascii="Arial" w:hAnsi="Arial"/>
                <w:sz w:val="18"/>
              </w:rPr>
              <w:t>Participant compliance is &lt;80% at one or more visits</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`StudyIntervention`</w:t>
            </w:r>
          </w:p>
        </w:tc>
        <w:tc>
          <w:tcPr>
            <w:tcW w:type="dxa" w:w="720"/>
          </w:tcPr>
          <w:p>
            <w:r>
              <w:rPr>
                <w:rFonts w:ascii="Arial" w:hAnsi="Arial"/>
                <w:sz w:val="18"/>
              </w:rPr>
              <w:t>~</w:t>
            </w:r>
          </w:p>
        </w:tc>
      </w:tr>
      <w:tr>
        <w:tc>
          <w:tcPr>
            <w:tcW w:type="dxa" w:w="3168"/>
          </w:tcPr>
          <w:p>
            <w:r>
              <w:rPr>
                <w:rFonts w:ascii="Arial" w:hAnsi="Arial"/>
                <w:sz w:val="18"/>
              </w:rPr>
              <w:t>Participant compliance is &gt;120% at one or more visits</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`StudyIntervention`</w:t>
            </w:r>
          </w:p>
        </w:tc>
        <w:tc>
          <w:tcPr>
            <w:tcW w:type="dxa" w:w="720"/>
          </w:tcPr>
          <w:p>
            <w:r>
              <w:rPr>
                <w:rFonts w:ascii="Arial" w:hAnsi="Arial"/>
                <w:sz w:val="18"/>
              </w:rPr>
              <w:t>~</w:t>
            </w:r>
          </w:p>
        </w:tc>
      </w:tr>
      <w:tr>
        <w:tc>
          <w:tcPr>
            <w:tcW w:type="dxa" w:w="3168"/>
          </w:tcPr>
          <w:p>
            <w:r>
              <w:rPr>
                <w:rFonts w:ascii="Arial" w:hAnsi="Arial"/>
                <w:sz w:val="18"/>
              </w:rPr>
              <w:t>Participant took IP which was not viable due to shipping/storage conditions</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`StudyIntervention`</w:t>
            </w:r>
          </w:p>
        </w:tc>
        <w:tc>
          <w:tcPr>
            <w:tcW w:type="dxa" w:w="720"/>
          </w:tcPr>
          <w:p>
            <w:r>
              <w:rPr>
                <w:rFonts w:ascii="Arial" w:hAnsi="Arial"/>
                <w:sz w:val="18"/>
              </w:rPr>
              <w:t>~</w:t>
            </w:r>
          </w:p>
        </w:tc>
      </w:tr>
    </w:tbl>
    <w:p/>
    <w:p>
      <w:pPr>
        <w:ind w:left="360"/>
      </w:pPr>
      <w:r>
        <w:rPr>
          <w:b/>
          <w:i w:val="0"/>
        </w:rPr>
        <w:t>MISS:</w:t>
      </w:r>
      <w:r>
        <w:rPr>
          <w:i w:val="0"/>
        </w:rPr>
        <w:t xml:space="preserve"> Dosing/Administration error — not generated.</w:t>
      </w:r>
    </w:p>
    <w:p>
      <w:pPr>
        <w:ind w:left="360"/>
      </w:pPr>
      <w:r>
        <w:rPr>
          <w:b/>
          <w:i w:val="0"/>
        </w:rPr>
        <w:t>MISS:</w:t>
      </w:r>
      <w:r>
        <w:rPr>
          <w:i w:val="0"/>
        </w:rPr>
        <w:t xml:space="preserve"> Dosing/Administration error: Additional dose administered — not generated.</w:t>
      </w:r>
    </w:p>
    <w:p>
      <w:pPr>
        <w:ind w:left="360"/>
      </w:pPr>
      <w:r>
        <w:rPr>
          <w:b/>
          <w:i w:val="0"/>
        </w:rPr>
        <w:t>MISS:</w:t>
      </w:r>
      <w:r>
        <w:rPr>
          <w:i w:val="0"/>
        </w:rPr>
        <w:t xml:space="preserve"> Dosing/Administration error: Two or more consecutive doses missed — not generated.</w:t>
      </w:r>
    </w:p>
    <w:p>
      <w:pPr>
        <w:ind w:left="360"/>
      </w:pPr>
      <w:r>
        <w:rPr>
          <w:b/>
          <w:i w:val="0"/>
        </w:rPr>
        <w:t>MISS:</w:t>
      </w:r>
      <w:r>
        <w:rPr>
          <w:i w:val="0"/>
        </w:rPr>
        <w:t xml:space="preserve"> Dosing/Administration error: three or more doses missed — not generated.</w:t>
      </w:r>
    </w:p>
    <w:p>
      <w:pPr>
        <w:ind w:left="360"/>
      </w:pPr>
      <w:r>
        <w:rPr>
          <w:b/>
          <w:i w:val="0"/>
        </w:rPr>
        <w:t>MISS:</w:t>
      </w:r>
      <w:r>
        <w:rPr>
          <w:i w:val="0"/>
        </w:rPr>
        <w:t xml:space="preserve"> Storage error — not generated.</w:t>
      </w:r>
    </w:p>
    <w:p>
      <w:pPr>
        <w:spacing w:before="200" w:after="80"/>
      </w:pPr>
      <w:r>
        <w:rPr>
          <w:b/>
          <w:sz w:val="22"/>
        </w:rPr>
        <w:t>Category 3 — Category 3</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Participant received a prohibited COVID-19 vaccine during the restricted study period (through Day 34)</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r>
        <w:tc>
          <w:tcPr>
            <w:tcW w:type="dxa" w:w="3168"/>
          </w:tcPr>
          <w:p>
            <w:r>
              <w:rPr>
                <w:rFonts w:ascii="Arial" w:hAnsi="Arial"/>
                <w:sz w:val="18"/>
              </w:rPr>
              <w:t>Participant took a prohibited medication that could potentially impact efficacy assessments (e.g., other COVID-19 antivirals, mAbs, or convalescent plasma)</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r>
        <w:tc>
          <w:tcPr>
            <w:tcW w:type="dxa" w:w="3168"/>
          </w:tcPr>
          <w:p>
            <w:r>
              <w:rPr>
                <w:rFonts w:ascii="Arial" w:hAnsi="Arial"/>
                <w:sz w:val="18"/>
              </w:rPr>
              <w:t>Participant took a prohibited medication that could potentially impact the metabolism of the study drug (ibuzatrelvir)</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bl>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60"/>
        <w:gridCol w:w="3360"/>
        <w:gridCol w:w="3360"/>
      </w:tblGrid>
      <w:tr>
        <w:tc>
          <w:tcPr>
            <w:tcW w:type="dxa" w:w="3360"/>
            <w:shd w:fill="D9E2F3"/>
          </w:tcPr>
          <w:p>
            <w:r>
              <w:rPr>
                <w:rFonts w:ascii="Arial" w:hAnsi="Arial"/>
                <w:b/>
                <w:sz w:val="18"/>
              </w:rPr>
              <w:t>Near Miss</w:t>
            </w:r>
          </w:p>
        </w:tc>
        <w:tc>
          <w:tcPr>
            <w:tcW w:type="dxa" w:w="3360"/>
            <w:shd w:fill="D9E2F3"/>
          </w:tcPr>
          <w:p>
            <w:r>
              <w:rPr>
                <w:rFonts w:ascii="Arial" w:hAnsi="Arial"/>
                <w:b/>
                <w:sz w:val="18"/>
              </w:rPr>
              <w:t>Generated</w:t>
            </w:r>
          </w:p>
        </w:tc>
        <w:tc>
          <w:tcPr>
            <w:tcW w:type="dxa" w:w="3360"/>
            <w:shd w:fill="D9E2F3"/>
          </w:tcPr>
          <w:p>
            <w:r>
              <w:rPr>
                <w:rFonts w:ascii="Arial" w:hAnsi="Arial"/>
                <w:b/>
                <w:sz w:val="18"/>
              </w:rPr>
              <w:t>Ground Truth (Actual)</w:t>
            </w:r>
          </w:p>
        </w:tc>
      </w:tr>
      <w:tr>
        <w:tc>
          <w:tcPr>
            <w:tcW w:type="dxa" w:w="3360"/>
          </w:tcPr>
          <w:p>
            <w:r>
              <w:rPr>
                <w:rFonts w:ascii="Arial" w:hAnsi="Arial"/>
                <w:sz w:val="18"/>
              </w:rPr>
              <w:t>Near Miss B</w:t>
            </w:r>
          </w:p>
        </w:tc>
        <w:tc>
          <w:tcPr>
            <w:tcW w:type="dxa" w:w="3360"/>
          </w:tcPr>
          <w:p>
            <w:r>
              <w:rPr>
                <w:rFonts w:ascii="Arial" w:hAnsi="Arial"/>
                <w:sz w:val="18"/>
              </w:rPr>
              <w:t>Participant received rescue medication for COVID-19 that was not specified as per protocol</w:t>
            </w:r>
          </w:p>
        </w:tc>
        <w:tc>
          <w:tcPr>
            <w:tcW w:type="dxa" w:w="3360"/>
          </w:tcPr>
          <w:p>
            <w:r>
              <w:rPr>
                <w:rFonts w:ascii="Arial" w:hAnsi="Arial"/>
                <w:sz w:val="18"/>
              </w:rPr>
              <w:t>Took permitted concomitant medication/vaccine, but not as specified per protocol</w:t>
            </w:r>
          </w:p>
        </w:tc>
      </w:tr>
    </w:tbl>
    <w:p/>
    <w:p>
      <w:pPr>
        <w:ind w:left="360"/>
      </w:pPr>
      <w:r>
        <w:rPr>
          <w:b/>
          <w:i w:val="0"/>
        </w:rPr>
        <w:t>MISS:</w:t>
      </w:r>
      <w:r>
        <w:rPr>
          <w:i w:val="0"/>
        </w:rPr>
        <w:t xml:space="preserve"> Mandatory concomitant medication/vaccine not taken/administered or not used as specified per protocol — not generated.</w:t>
      </w:r>
    </w:p>
    <w:p>
      <w:pPr>
        <w:ind w:left="360"/>
      </w:pPr>
      <w:r>
        <w:rPr>
          <w:b/>
          <w:i w:val="0"/>
        </w:rPr>
        <w:t>MISS:</w:t>
      </w:r>
      <w:r>
        <w:rPr>
          <w:i w:val="0"/>
        </w:rPr>
        <w:t xml:space="preserve"> Took prohibited concomitant medication/vaccine — not generated.</w:t>
      </w:r>
    </w:p>
    <w:p>
      <w:pPr>
        <w:spacing w:before="200" w:after="80"/>
      </w:pPr>
      <w:r>
        <w:rPr>
          <w:b/>
          <w:sz w:val="22"/>
        </w:rPr>
        <w:t>Category 4 — Category 4</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Abnormal lab result not followed up appropriately</w:t>
            </w:r>
          </w:p>
        </w:tc>
        <w:tc>
          <w:tcPr>
            <w:tcW w:type="dxa" w:w="720"/>
          </w:tcPr>
          <w:p>
            <w:r>
              <w:rPr>
                <w:rFonts w:ascii="Arial" w:hAnsi="Arial"/>
                <w:sz w:val="18"/>
              </w:rPr>
              <w:t>100</w:t>
            </w:r>
          </w:p>
        </w:tc>
        <w:tc>
          <w:tcPr>
            <w:tcW w:type="dxa" w:w="864"/>
          </w:tcPr>
          <w:p>
            <w:r>
              <w:rPr>
                <w:rFonts w:ascii="Arial" w:hAnsi="Arial"/>
                <w:sz w:val="18"/>
              </w:rPr>
              <w:t>Verbatim</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Lab for pregnancy testing not done or done out of visit window</w:t>
            </w:r>
          </w:p>
        </w:tc>
        <w:tc>
          <w:tcPr>
            <w:tcW w:type="dxa" w:w="720"/>
          </w:tcPr>
          <w:p>
            <w:r>
              <w:rPr>
                <w:rFonts w:ascii="Arial" w:hAnsi="Arial"/>
                <w:sz w:val="18"/>
              </w:rPr>
              <w:t>100</w:t>
            </w:r>
          </w:p>
        </w:tc>
        <w:tc>
          <w:tcPr>
            <w:tcW w:type="dxa" w:w="864"/>
          </w:tcPr>
          <w:p>
            <w:r>
              <w:rPr>
                <w:rFonts w:ascii="Arial" w:hAnsi="Arial"/>
                <w:sz w:val="18"/>
              </w:rPr>
              <w:t>Verbatim</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Pharmacokinetic (PK) sample for ibuzatrelvir not collected or collected outside the specified time window</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Required safety laboratory assessments (e.g., hematology, blood chemistry) not performed</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SARS-CoV-2 RNA level assessment (NP swab) not collected or collected out of window, potentially impacting virologic secondary endpoints</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The participant or the participant's legal guardian did not provide consent for collection of PrepD1 samples, although the samples were drawn</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bl>
    <w:p/>
    <w:p>
      <w:pPr>
        <w:ind w:left="360"/>
      </w:pPr>
      <w:r>
        <w:rPr>
          <w:b/>
          <w:i w:val="0"/>
        </w:rPr>
        <w:t>MISS:</w:t>
      </w:r>
      <w:r>
        <w:rPr>
          <w:i w:val="0"/>
        </w:rPr>
        <w:t xml:space="preserve"> NP swab for viral load not done — not generated.</w:t>
      </w:r>
    </w:p>
    <w:p>
      <w:pPr>
        <w:ind w:left="360"/>
      </w:pPr>
      <w:r>
        <w:rPr>
          <w:b/>
          <w:i w:val="0"/>
        </w:rPr>
        <w:t>MISS:</w:t>
      </w:r>
      <w:r>
        <w:rPr>
          <w:i w:val="0"/>
        </w:rPr>
        <w:t xml:space="preserve"> Safety lab not done (not drawn) — not generated.</w:t>
      </w:r>
    </w:p>
    <w:p>
      <w:pPr>
        <w:spacing w:before="200" w:after="80"/>
      </w:pPr>
      <w:r>
        <w:rPr>
          <w:b/>
          <w:sz w:val="22"/>
        </w:rPr>
        <w:t>Category 5 — Category 5</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Baseline (Day 1) visit performed outside the protocol-specified window (e.g., &gt;5 days after COVID-19 symptom onset)</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`Encounter`</w:t>
            </w:r>
          </w:p>
        </w:tc>
        <w:tc>
          <w:tcPr>
            <w:tcW w:type="dxa" w:w="720"/>
          </w:tcPr>
          <w:p>
            <w:r>
              <w:rPr>
                <w:rFonts w:ascii="Arial" w:hAnsi="Arial"/>
                <w:sz w:val="18"/>
              </w:rPr>
              <w:t>~</w:t>
            </w:r>
          </w:p>
        </w:tc>
      </w:tr>
      <w:tr>
        <w:tc>
          <w:tcPr>
            <w:tcW w:type="dxa" w:w="3168"/>
          </w:tcPr>
          <w:p>
            <w:r>
              <w:rPr>
                <w:rFonts w:ascii="Arial" w:hAnsi="Arial"/>
                <w:sz w:val="18"/>
              </w:rPr>
              <w:t>One or more treatment period visits (Day 5, Day 10, Day 14, or Day 21) were not performed</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`Encounter`</w:t>
            </w:r>
          </w:p>
        </w:tc>
        <w:tc>
          <w:tcPr>
            <w:tcW w:type="dxa" w:w="720"/>
          </w:tcPr>
          <w:p>
            <w:r>
              <w:rPr>
                <w:rFonts w:ascii="Arial" w:hAnsi="Arial"/>
                <w:sz w:val="18"/>
              </w:rPr>
              <w:t>~</w:t>
            </w:r>
          </w:p>
        </w:tc>
      </w:tr>
      <w:tr>
        <w:tc>
          <w:tcPr>
            <w:tcW w:type="dxa" w:w="3168"/>
          </w:tcPr>
          <w:p>
            <w:r>
              <w:rPr>
                <w:rFonts w:ascii="Arial" w:hAnsi="Arial"/>
                <w:sz w:val="18"/>
              </w:rPr>
              <w:t>Visit performed but outside protocol window.</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`Encounter`</w:t>
            </w:r>
          </w:p>
        </w:tc>
        <w:tc>
          <w:tcPr>
            <w:tcW w:type="dxa" w:w="720"/>
          </w:tcPr>
          <w:p>
            <w:r>
              <w:rPr>
                <w:rFonts w:ascii="Arial" w:hAnsi="Arial"/>
                <w:sz w:val="18"/>
              </w:rPr>
              <w:t>~</w:t>
            </w:r>
          </w:p>
        </w:tc>
      </w:tr>
      <w:tr>
        <w:tc>
          <w:tcPr>
            <w:tcW w:type="dxa" w:w="3168"/>
          </w:tcPr>
          <w:p>
            <w:r>
              <w:rPr>
                <w:rFonts w:ascii="Arial" w:hAnsi="Arial"/>
                <w:sz w:val="18"/>
              </w:rPr>
              <w:t>Week 24 visit was not performed</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`Encounter`</w:t>
            </w:r>
          </w:p>
        </w:tc>
        <w:tc>
          <w:tcPr>
            <w:tcW w:type="dxa" w:w="720"/>
          </w:tcPr>
          <w:p>
            <w:r>
              <w:rPr>
                <w:rFonts w:ascii="Arial" w:hAnsi="Arial"/>
                <w:sz w:val="18"/>
              </w:rPr>
              <w:t>~</w:t>
            </w:r>
          </w:p>
        </w:tc>
      </w:tr>
    </w:tbl>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60"/>
        <w:gridCol w:w="3360"/>
        <w:gridCol w:w="3360"/>
      </w:tblGrid>
      <w:tr>
        <w:tc>
          <w:tcPr>
            <w:tcW w:type="dxa" w:w="3360"/>
            <w:shd w:fill="D9E2F3"/>
          </w:tcPr>
          <w:p>
            <w:r>
              <w:rPr>
                <w:rFonts w:ascii="Arial" w:hAnsi="Arial"/>
                <w:b/>
                <w:sz w:val="18"/>
              </w:rPr>
              <w:t>Near Miss</w:t>
            </w:r>
          </w:p>
        </w:tc>
        <w:tc>
          <w:tcPr>
            <w:tcW w:type="dxa" w:w="3360"/>
            <w:shd w:fill="D9E2F3"/>
          </w:tcPr>
          <w:p>
            <w:r>
              <w:rPr>
                <w:rFonts w:ascii="Arial" w:hAnsi="Arial"/>
                <w:b/>
                <w:sz w:val="18"/>
              </w:rPr>
              <w:t>Generated</w:t>
            </w:r>
          </w:p>
        </w:tc>
        <w:tc>
          <w:tcPr>
            <w:tcW w:type="dxa" w:w="3360"/>
            <w:shd w:fill="D9E2F3"/>
          </w:tcPr>
          <w:p>
            <w:r>
              <w:rPr>
                <w:rFonts w:ascii="Arial" w:hAnsi="Arial"/>
                <w:b/>
                <w:sz w:val="18"/>
              </w:rPr>
              <w:t>Ground Truth (Actual)</w:t>
            </w:r>
          </w:p>
        </w:tc>
      </w:tr>
      <w:tr>
        <w:tc>
          <w:tcPr>
            <w:tcW w:type="dxa" w:w="3360"/>
          </w:tcPr>
          <w:p>
            <w:r>
              <w:rPr>
                <w:rFonts w:ascii="Arial" w:hAnsi="Arial"/>
                <w:sz w:val="18"/>
              </w:rPr>
              <w:t>Near Miss B</w:t>
            </w:r>
          </w:p>
        </w:tc>
        <w:tc>
          <w:tcPr>
            <w:tcW w:type="dxa" w:w="3360"/>
          </w:tcPr>
          <w:p>
            <w:r>
              <w:rPr>
                <w:rFonts w:ascii="Arial" w:hAnsi="Arial"/>
                <w:sz w:val="18"/>
              </w:rPr>
              <w:t>Day 34 visit was not performed</w:t>
            </w:r>
          </w:p>
        </w:tc>
        <w:tc>
          <w:tcPr>
            <w:tcW w:type="dxa" w:w="3360"/>
          </w:tcPr>
          <w:p>
            <w:r>
              <w:rPr>
                <w:rFonts w:ascii="Arial" w:hAnsi="Arial"/>
                <w:sz w:val="18"/>
              </w:rPr>
              <w:t>Visit not done</w:t>
            </w:r>
          </w:p>
        </w:tc>
      </w:tr>
    </w:tbl>
    <w:p/>
    <w:p>
      <w:pPr>
        <w:spacing w:before="200" w:after="80"/>
      </w:pPr>
      <w:r>
        <w:rPr>
          <w:b/>
          <w:sz w:val="22"/>
        </w:rPr>
        <w:t>Category 6 — Category 6</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Participant completed study dosing log incomplete, or not completed, as specified per protocol</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Participant did not use highly effective contraceptive method(s) per protocol during the study</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r>
        <w:tc>
          <w:tcPr>
            <w:tcW w:type="dxa" w:w="3168"/>
          </w:tcPr>
          <w:p>
            <w:r>
              <w:rPr>
                <w:rFonts w:ascii="Arial" w:hAnsi="Arial"/>
                <w:sz w:val="18"/>
              </w:rPr>
              <w:t>Participant-completed study diary (e.g., COVID-19 symptoms, Long COVID symptoms, WPAI, EQ-5D-5L) incomplete, or not completed, as specified per protocol</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Protocol-specified procedure or test (e.g., SARS-CoV-2 RNA NP swab, PK sample) not performed per protocol</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Protocol-specified procedure or test (e.g., SARS-CoV-2 RNA NP swab, PK sample, COVID-19 Rapid antigen test) not done</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bl>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60"/>
        <w:gridCol w:w="3360"/>
        <w:gridCol w:w="3360"/>
      </w:tblGrid>
      <w:tr>
        <w:tc>
          <w:tcPr>
            <w:tcW w:type="dxa" w:w="3360"/>
            <w:shd w:fill="D9E2F3"/>
          </w:tcPr>
          <w:p>
            <w:r>
              <w:rPr>
                <w:rFonts w:ascii="Arial" w:hAnsi="Arial"/>
                <w:b/>
                <w:sz w:val="18"/>
              </w:rPr>
              <w:t>Near Miss</w:t>
            </w:r>
          </w:p>
        </w:tc>
        <w:tc>
          <w:tcPr>
            <w:tcW w:type="dxa" w:w="3360"/>
            <w:shd w:fill="D9E2F3"/>
          </w:tcPr>
          <w:p>
            <w:r>
              <w:rPr>
                <w:rFonts w:ascii="Arial" w:hAnsi="Arial"/>
                <w:b/>
                <w:sz w:val="18"/>
              </w:rPr>
              <w:t>Generated</w:t>
            </w:r>
          </w:p>
        </w:tc>
        <w:tc>
          <w:tcPr>
            <w:tcW w:type="dxa" w:w="3360"/>
            <w:shd w:fill="D9E2F3"/>
          </w:tcPr>
          <w:p>
            <w:r>
              <w:rPr>
                <w:rFonts w:ascii="Arial" w:hAnsi="Arial"/>
                <w:b/>
                <w:sz w:val="18"/>
              </w:rPr>
              <w:t>Ground Truth (Actual)</w:t>
            </w:r>
          </w:p>
        </w:tc>
      </w:tr>
      <w:tr>
        <w:tc>
          <w:tcPr>
            <w:tcW w:type="dxa" w:w="3360"/>
          </w:tcPr>
          <w:p>
            <w:r>
              <w:rPr>
                <w:rFonts w:ascii="Arial" w:hAnsi="Arial"/>
                <w:sz w:val="18"/>
              </w:rPr>
              <w:t>Near Miss B</w:t>
            </w:r>
          </w:p>
        </w:tc>
        <w:tc>
          <w:tcPr>
            <w:tcW w:type="dxa" w:w="3360"/>
          </w:tcPr>
          <w:p>
            <w:r>
              <w:rPr>
                <w:rFonts w:ascii="Arial" w:hAnsi="Arial"/>
                <w:sz w:val="18"/>
              </w:rPr>
              <w:t>Abnormal procedure/test result not followed up per protocol</w:t>
            </w:r>
          </w:p>
        </w:tc>
        <w:tc>
          <w:tcPr>
            <w:tcW w:type="dxa" w:w="3360"/>
          </w:tcPr>
          <w:p>
            <w:r>
              <w:rPr>
                <w:rFonts w:ascii="Arial" w:hAnsi="Arial"/>
                <w:sz w:val="18"/>
              </w:rPr>
              <w:t>Abnormal procedure/test result not followed up per protocol eDiary compliance: COVID-19/PGI symptoms daily diary overall completion below 75% eDiary compliance: Long COVID-19 symptoms weekly diary overall completion below 75%</w:t>
            </w:r>
          </w:p>
        </w:tc>
      </w:tr>
      <w:tr>
        <w:tc>
          <w:tcPr>
            <w:tcW w:type="dxa" w:w="3360"/>
          </w:tcPr>
          <w:p>
            <w:r>
              <w:rPr>
                <w:rFonts w:ascii="Arial" w:hAnsi="Arial"/>
                <w:sz w:val="18"/>
              </w:rPr>
              <w:t>Near Miss B</w:t>
            </w:r>
          </w:p>
        </w:tc>
        <w:tc>
          <w:tcPr>
            <w:tcW w:type="dxa" w:w="3360"/>
          </w:tcPr>
          <w:p>
            <w:r>
              <w:rPr>
                <w:rFonts w:ascii="Arial" w:hAnsi="Arial"/>
                <w:sz w:val="18"/>
              </w:rPr>
              <w:t>Contraception counseling or contraception check during study visits not done</w:t>
            </w:r>
          </w:p>
        </w:tc>
        <w:tc>
          <w:tcPr>
            <w:tcW w:type="dxa" w:w="3360"/>
          </w:tcPr>
          <w:p>
            <w:r>
              <w:rPr>
                <w:rFonts w:ascii="Arial" w:hAnsi="Arial"/>
                <w:sz w:val="18"/>
              </w:rPr>
              <w:t>Procedures for contraception counseling/contraception requirements not followed</w:t>
            </w:r>
          </w:p>
        </w:tc>
      </w:tr>
    </w:tbl>
    <w:p/>
    <w:p>
      <w:pPr>
        <w:spacing w:before="200" w:after="80"/>
      </w:pPr>
      <w:r>
        <w:rPr>
          <w:b/>
          <w:sz w:val="22"/>
        </w:rPr>
        <w:t>Category 7 — Category 7</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Incorrect age stratification group assigned.</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`StudyPopulation`</w:t>
            </w:r>
          </w:p>
        </w:tc>
        <w:tc>
          <w:tcPr>
            <w:tcW w:type="dxa" w:w="720"/>
          </w:tcPr>
          <w:p>
            <w:r>
              <w:rPr>
                <w:rFonts w:ascii="Arial" w:hAnsi="Arial"/>
                <w:sz w:val="18"/>
              </w:rPr>
              <w:t>~</w:t>
            </w:r>
          </w:p>
        </w:tc>
      </w:tr>
      <w:tr>
        <w:tc>
          <w:tcPr>
            <w:tcW w:type="dxa" w:w="3168"/>
          </w:tcPr>
          <w:p>
            <w:r>
              <w:rPr>
                <w:rFonts w:ascii="Arial" w:hAnsi="Arial"/>
                <w:sz w:val="18"/>
              </w:rPr>
              <w:t>Participant incorrectly randomized at Day 1</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Participant randomized after the 5th day of COVID-19 symptom onset</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r>
        <w:tc>
          <w:tcPr>
            <w:tcW w:type="dxa" w:w="3168"/>
          </w:tcPr>
          <w:p>
            <w:r>
              <w:rPr>
                <w:rFonts w:ascii="Arial" w:hAnsi="Arial"/>
                <w:sz w:val="18"/>
              </w:rPr>
              <w:t>Participant randomized but did not receive study intervention</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Participant randomized prior to confirming all eligibility criteria</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Wrong stratification group assigned based on risk factors for progression to severe COVID-19</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`EligibilityCriterion`</w:t>
            </w:r>
          </w:p>
        </w:tc>
        <w:tc>
          <w:tcPr>
            <w:tcW w:type="dxa" w:w="720"/>
          </w:tcPr>
          <w:p>
            <w:r>
              <w:rPr>
                <w:rFonts w:ascii="Arial" w:hAnsi="Arial"/>
                <w:sz w:val="18"/>
              </w:rPr>
              <w:t>~</w:t>
            </w:r>
          </w:p>
        </w:tc>
      </w:tr>
    </w:tbl>
    <w:p/>
    <w:p>
      <w:pPr>
        <w:ind w:left="360"/>
      </w:pPr>
      <w:r>
        <w:rPr>
          <w:b/>
          <w:i w:val="0"/>
        </w:rPr>
        <w:t>MISS:</w:t>
      </w:r>
      <w:r>
        <w:rPr>
          <w:i w:val="0"/>
        </w:rPr>
        <w:t xml:space="preserve"> Randomization done out of sequence — not generated.</w:t>
      </w:r>
    </w:p>
    <w:p>
      <w:pPr>
        <w:ind w:left="360"/>
      </w:pPr>
      <w:r>
        <w:rPr>
          <w:b/>
          <w:i w:val="0"/>
        </w:rPr>
        <w:t>MISS:</w:t>
      </w:r>
      <w:r>
        <w:rPr>
          <w:i w:val="0"/>
        </w:rPr>
        <w:t xml:space="preserve"> Randomization under wrong strata — not generated.</w:t>
      </w:r>
    </w:p>
    <w:p>
      <w:pPr>
        <w:ind w:left="360"/>
      </w:pPr>
      <w:r>
        <w:rPr>
          <w:b/>
          <w:i w:val="0"/>
        </w:rPr>
        <w:t>MISS:</w:t>
      </w:r>
      <w:r>
        <w:rPr>
          <w:i w:val="0"/>
        </w:rPr>
        <w:t xml:space="preserve"> Randomized out of protocol defined window — not generated.</w:t>
      </w:r>
    </w:p>
    <w:p>
      <w:pPr>
        <w:spacing w:before="200" w:after="80"/>
      </w:pPr>
      <w:r>
        <w:rPr>
          <w:b/>
          <w:sz w:val="22"/>
        </w:rPr>
        <w:t>Category 8 — Category 8</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SAE/EIU not reported to Sponsor within specified timeframe</w:t>
            </w:r>
          </w:p>
        </w:tc>
        <w:tc>
          <w:tcPr>
            <w:tcW w:type="dxa" w:w="720"/>
          </w:tcPr>
          <w:p>
            <w:r>
              <w:rPr>
                <w:rFonts w:ascii="Arial" w:hAnsi="Arial"/>
                <w:sz w:val="18"/>
              </w:rPr>
              <w:t>100</w:t>
            </w:r>
          </w:p>
        </w:tc>
        <w:tc>
          <w:tcPr>
            <w:tcW w:type="dxa" w:w="864"/>
          </w:tcPr>
          <w:p>
            <w:r>
              <w:rPr>
                <w:rFonts w:ascii="Arial" w:hAnsi="Arial"/>
                <w:sz w:val="18"/>
              </w:rPr>
              <w:t>Verbatim</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Event information submission to adjudication committee was delayed or not reported</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`Estimand`</w:t>
            </w:r>
          </w:p>
        </w:tc>
        <w:tc>
          <w:tcPr>
            <w:tcW w:type="dxa" w:w="720"/>
          </w:tcPr>
          <w:p>
            <w:r>
              <w:rPr>
                <w:rFonts w:ascii="Arial" w:hAnsi="Arial"/>
                <w:sz w:val="18"/>
              </w:rPr>
              <w:t>~</w:t>
            </w:r>
          </w:p>
        </w:tc>
      </w:tr>
    </w:tbl>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60"/>
        <w:gridCol w:w="3360"/>
        <w:gridCol w:w="3360"/>
      </w:tblGrid>
      <w:tr>
        <w:tc>
          <w:tcPr>
            <w:tcW w:type="dxa" w:w="3360"/>
            <w:shd w:fill="D9E2F3"/>
          </w:tcPr>
          <w:p>
            <w:r>
              <w:rPr>
                <w:rFonts w:ascii="Arial" w:hAnsi="Arial"/>
                <w:b/>
                <w:sz w:val="18"/>
              </w:rPr>
              <w:t>Near Miss</w:t>
            </w:r>
          </w:p>
        </w:tc>
        <w:tc>
          <w:tcPr>
            <w:tcW w:type="dxa" w:w="3360"/>
            <w:shd w:fill="D9E2F3"/>
          </w:tcPr>
          <w:p>
            <w:r>
              <w:rPr>
                <w:rFonts w:ascii="Arial" w:hAnsi="Arial"/>
                <w:b/>
                <w:sz w:val="18"/>
              </w:rPr>
              <w:t>Generated</w:t>
            </w:r>
          </w:p>
        </w:tc>
        <w:tc>
          <w:tcPr>
            <w:tcW w:type="dxa" w:w="3360"/>
            <w:shd w:fill="D9E2F3"/>
          </w:tcPr>
          <w:p>
            <w:r>
              <w:rPr>
                <w:rFonts w:ascii="Arial" w:hAnsi="Arial"/>
                <w:b/>
                <w:sz w:val="18"/>
              </w:rPr>
              <w:t>Ground Truth (Actual)</w:t>
            </w:r>
          </w:p>
        </w:tc>
      </w:tr>
      <w:tr>
        <w:tc>
          <w:tcPr>
            <w:tcW w:type="dxa" w:w="3360"/>
          </w:tcPr>
          <w:p>
            <w:r>
              <w:rPr>
                <w:rFonts w:ascii="Arial" w:hAnsi="Arial"/>
                <w:sz w:val="18"/>
              </w:rPr>
              <w:t>Near Miss B</w:t>
            </w:r>
          </w:p>
        </w:tc>
        <w:tc>
          <w:tcPr>
            <w:tcW w:type="dxa" w:w="3360"/>
          </w:tcPr>
          <w:p>
            <w:r>
              <w:rPr>
                <w:rFonts w:ascii="Arial" w:hAnsi="Arial"/>
                <w:sz w:val="18"/>
              </w:rPr>
              <w:t>AE/SAE was not recorded in Clinical Database</w:t>
            </w:r>
          </w:p>
        </w:tc>
        <w:tc>
          <w:tcPr>
            <w:tcW w:type="dxa" w:w="3360"/>
          </w:tcPr>
          <w:p>
            <w:r>
              <w:rPr>
                <w:rFonts w:ascii="Arial" w:hAnsi="Arial"/>
                <w:sz w:val="18"/>
              </w:rPr>
              <w:t>SAE/EIU not reported in clinical database</w:t>
            </w:r>
          </w:p>
        </w:tc>
      </w:tr>
      <w:tr>
        <w:tc>
          <w:tcPr>
            <w:tcW w:type="dxa" w:w="3360"/>
          </w:tcPr>
          <w:p>
            <w:r>
              <w:rPr>
                <w:rFonts w:ascii="Arial" w:hAnsi="Arial"/>
                <w:sz w:val="18"/>
              </w:rPr>
              <w:t>Near Miss B</w:t>
            </w:r>
          </w:p>
        </w:tc>
        <w:tc>
          <w:tcPr>
            <w:tcW w:type="dxa" w:w="3360"/>
          </w:tcPr>
          <w:p>
            <w:r>
              <w:rPr>
                <w:rFonts w:ascii="Arial" w:hAnsi="Arial"/>
                <w:sz w:val="18"/>
              </w:rPr>
              <w:t>SAE reporting was delayed or not reported to IEC or IRB per local regulations</w:t>
            </w:r>
          </w:p>
        </w:tc>
        <w:tc>
          <w:tcPr>
            <w:tcW w:type="dxa" w:w="3360"/>
          </w:tcPr>
          <w:p>
            <w:r>
              <w:rPr>
                <w:rFonts w:ascii="Arial" w:hAnsi="Arial"/>
                <w:sz w:val="18"/>
              </w:rPr>
              <w:t>SAE/EIU not reported to IRB per local regulations</w:t>
            </w:r>
          </w:p>
        </w:tc>
      </w:tr>
    </w:tbl>
    <w:p/>
    <w:p>
      <w:pPr>
        <w:spacing w:before="200" w:after="80"/>
      </w:pPr>
      <w:r>
        <w:rPr>
          <w:b/>
          <w:sz w:val="22"/>
        </w:rPr>
        <w:t>Category 9 — Category 9</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Delayed discontinuation of study intervention (ibuzatrelvir or placebo) after discontinuation criteria had been met by the participant</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`StudyIntervention`</w:t>
            </w:r>
          </w:p>
        </w:tc>
        <w:tc>
          <w:tcPr>
            <w:tcW w:type="dxa" w:w="720"/>
          </w:tcPr>
          <w:p>
            <w:r>
              <w:rPr>
                <w:rFonts w:ascii="Arial" w:hAnsi="Arial"/>
                <w:sz w:val="18"/>
              </w:rPr>
              <w:t>~</w:t>
            </w:r>
          </w:p>
        </w:tc>
      </w:tr>
      <w:tr>
        <w:tc>
          <w:tcPr>
            <w:tcW w:type="dxa" w:w="3168"/>
          </w:tcPr>
          <w:p>
            <w:r>
              <w:rPr>
                <w:rFonts w:ascii="Arial" w:hAnsi="Arial"/>
                <w:sz w:val="18"/>
              </w:rPr>
              <w:t>Participant discontinued study intervention (ibuzatrelvir or placebo) prematurely but did not remain in the study to be followed for safety and efficacy assessments through Week 24</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`Estimand`</w:t>
            </w:r>
          </w:p>
        </w:tc>
        <w:tc>
          <w:tcPr>
            <w:tcW w:type="dxa" w:w="720"/>
          </w:tcPr>
          <w:p>
            <w:r>
              <w:rPr>
                <w:rFonts w:ascii="Arial" w:hAnsi="Arial"/>
                <w:sz w:val="18"/>
              </w:rPr>
              <w:t>~</w:t>
            </w:r>
          </w:p>
        </w:tc>
      </w:tr>
    </w:tbl>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60"/>
        <w:gridCol w:w="3360"/>
        <w:gridCol w:w="3360"/>
      </w:tblGrid>
      <w:tr>
        <w:tc>
          <w:tcPr>
            <w:tcW w:type="dxa" w:w="3360"/>
            <w:shd w:fill="D9E2F3"/>
          </w:tcPr>
          <w:p>
            <w:r>
              <w:rPr>
                <w:rFonts w:ascii="Arial" w:hAnsi="Arial"/>
                <w:b/>
                <w:sz w:val="18"/>
              </w:rPr>
              <w:t>Near Miss</w:t>
            </w:r>
          </w:p>
        </w:tc>
        <w:tc>
          <w:tcPr>
            <w:tcW w:type="dxa" w:w="3360"/>
            <w:shd w:fill="D9E2F3"/>
          </w:tcPr>
          <w:p>
            <w:r>
              <w:rPr>
                <w:rFonts w:ascii="Arial" w:hAnsi="Arial"/>
                <w:b/>
                <w:sz w:val="18"/>
              </w:rPr>
              <w:t>Generated</w:t>
            </w:r>
          </w:p>
        </w:tc>
        <w:tc>
          <w:tcPr>
            <w:tcW w:type="dxa" w:w="3360"/>
            <w:shd w:fill="D9E2F3"/>
          </w:tcPr>
          <w:p>
            <w:r>
              <w:rPr>
                <w:rFonts w:ascii="Arial" w:hAnsi="Arial"/>
                <w:b/>
                <w:sz w:val="18"/>
              </w:rPr>
              <w:t>Ground Truth (Actual)</w:t>
            </w:r>
          </w:p>
        </w:tc>
      </w:tr>
      <w:tr>
        <w:tc>
          <w:tcPr>
            <w:tcW w:type="dxa" w:w="3360"/>
          </w:tcPr>
          <w:p>
            <w:r>
              <w:rPr>
                <w:rFonts w:ascii="Arial" w:hAnsi="Arial"/>
                <w:sz w:val="18"/>
              </w:rPr>
              <w:t>Near Miss B</w:t>
            </w:r>
          </w:p>
        </w:tc>
        <w:tc>
          <w:tcPr>
            <w:tcW w:type="dxa" w:w="3360"/>
          </w:tcPr>
          <w:p>
            <w:r>
              <w:rPr>
                <w:rFonts w:ascii="Arial" w:hAnsi="Arial"/>
                <w:sz w:val="18"/>
              </w:rPr>
              <w:t>Participant was discontinued from study intervention or the study but did not meet protocol-specified discontinuation criteria</w:t>
            </w:r>
          </w:p>
        </w:tc>
        <w:tc>
          <w:tcPr>
            <w:tcW w:type="dxa" w:w="3360"/>
          </w:tcPr>
          <w:p>
            <w:r>
              <w:rPr>
                <w:rFonts w:ascii="Arial" w:hAnsi="Arial"/>
                <w:sz w:val="18"/>
              </w:rPr>
              <w:t>Subject was discontinued but did not meet discontinuation criteria</w:t>
            </w:r>
          </w:p>
        </w:tc>
      </w:tr>
      <w:tr>
        <w:tc>
          <w:tcPr>
            <w:tcW w:type="dxa" w:w="3360"/>
          </w:tcPr>
          <w:p>
            <w:r>
              <w:rPr>
                <w:rFonts w:ascii="Arial" w:hAnsi="Arial"/>
                <w:sz w:val="18"/>
              </w:rPr>
              <w:t>Near Miss B</w:t>
            </w:r>
          </w:p>
        </w:tc>
        <w:tc>
          <w:tcPr>
            <w:tcW w:type="dxa" w:w="3360"/>
          </w:tcPr>
          <w:p>
            <w:r>
              <w:rPr>
                <w:rFonts w:ascii="Arial" w:hAnsi="Arial"/>
                <w:sz w:val="18"/>
              </w:rPr>
              <w:t>Participant met protocol-specified criteria for discontinuation of study intervention or withdrawal from the study but was not withdrawn</w:t>
            </w:r>
          </w:p>
        </w:tc>
        <w:tc>
          <w:tcPr>
            <w:tcW w:type="dxa" w:w="3360"/>
          </w:tcPr>
          <w:p>
            <w:r>
              <w:rPr>
                <w:rFonts w:ascii="Arial" w:hAnsi="Arial"/>
                <w:sz w:val="18"/>
              </w:rPr>
              <w:t>Participant developed withdrawal criteria during the study but was not withdrawn</w:t>
            </w:r>
          </w:p>
        </w:tc>
      </w:tr>
    </w:tbl>
    <w:p/>
    <w:p>
      <w:pPr>
        <w:spacing w:before="200" w:after="80"/>
      </w:pPr>
      <w:r>
        <w:rPr>
          <w:b/>
          <w:sz w:val="22"/>
        </w:rPr>
        <w:t>Category 10 — Category 10</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Accidental unblinding of site staff or study staff or participant caregiver</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w:t>
            </w:r>
          </w:p>
        </w:tc>
        <w:tc>
          <w:tcPr>
            <w:tcW w:type="dxa" w:w="720"/>
          </w:tcPr>
          <w:p>
            <w:r>
              <w:rPr>
                <w:rFonts w:ascii="Arial" w:hAnsi="Arial"/>
                <w:sz w:val="18"/>
              </w:rPr>
              <w:t>~</w:t>
            </w:r>
          </w:p>
        </w:tc>
      </w:tr>
      <w:tr>
        <w:tc>
          <w:tcPr>
            <w:tcW w:type="dxa" w:w="3168"/>
          </w:tcPr>
          <w:p>
            <w:r>
              <w:rPr>
                <w:rFonts w:ascii="Arial" w:hAnsi="Arial"/>
                <w:sz w:val="18"/>
              </w:rPr>
              <w:t>Health Information required to be protected was not properly redacted or was shared in error.</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w:t>
            </w:r>
          </w:p>
        </w:tc>
        <w:tc>
          <w:tcPr>
            <w:tcW w:type="dxa" w:w="720"/>
          </w:tcPr>
          <w:p>
            <w:r>
              <w:rPr>
                <w:rFonts w:ascii="Arial" w:hAnsi="Arial"/>
                <w:sz w:val="18"/>
              </w:rPr>
              <w:t>~</w:t>
            </w:r>
          </w:p>
        </w:tc>
      </w:tr>
      <w:tr>
        <w:tc>
          <w:tcPr>
            <w:tcW w:type="dxa" w:w="3168"/>
          </w:tcPr>
          <w:p>
            <w:r>
              <w:rPr>
                <w:rFonts w:ascii="Arial" w:hAnsi="Arial"/>
                <w:sz w:val="18"/>
              </w:rPr>
              <w:t>Participant enrolled in an age group (12 to 49 years or 50 to 64 years) after the enrollment cap of 20% for that group was reached</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`StudyPopulation`</w:t>
            </w:r>
          </w:p>
        </w:tc>
        <w:tc>
          <w:tcPr>
            <w:tcW w:type="dxa" w:w="720"/>
          </w:tcPr>
          <w:p>
            <w:r>
              <w:rPr>
                <w:rFonts w:ascii="Arial" w:hAnsi="Arial"/>
                <w:sz w:val="18"/>
              </w:rPr>
              <w:t>~</w:t>
            </w:r>
          </w:p>
        </w:tc>
      </w:tr>
      <w:tr>
        <w:tc>
          <w:tcPr>
            <w:tcW w:type="dxa" w:w="3168"/>
          </w:tcPr>
          <w:p>
            <w:r>
              <w:rPr>
                <w:rFonts w:ascii="Arial" w:hAnsi="Arial"/>
                <w:sz w:val="18"/>
              </w:rPr>
              <w:t>Site did not permit study-related monitoring to occur and/or did not permit direct access to source data documents</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`Study`</w:t>
            </w:r>
          </w:p>
        </w:tc>
        <w:tc>
          <w:tcPr>
            <w:tcW w:type="dxa" w:w="720"/>
          </w:tcPr>
          <w:p>
            <w:r>
              <w:rPr>
                <w:rFonts w:ascii="Arial" w:hAnsi="Arial"/>
                <w:sz w:val="18"/>
              </w:rPr>
              <w:t>~</w:t>
            </w:r>
          </w:p>
        </w:tc>
      </w:tr>
    </w:tbl>
    <w:p/>
    <w:p>
      <w:pPr>
        <w:spacing w:before="200" w:after="80"/>
      </w:pPr>
      <w:r>
        <w:rPr>
          <w:b/>
          <w:sz w:val="22"/>
        </w:rPr>
        <w:t>Category 11 — Category 11</w:t>
      </w:r>
    </w:p>
    <w:p>
      <w:r>
        <w:rPr>
          <w:i/>
        </w:rPr>
        <w:t xml:space="preserve">USDM column: </w:t>
      </w:r>
      <w:r>
        <w:rPr>
          <w:b/>
          <w:i/>
        </w:rPr>
        <w:t>✓</w:t>
      </w:r>
      <w:r>
        <w:rPr>
          <w:i/>
        </w:rPr>
        <w:t xml:space="preserve"> = entity id in protocol · </w:t>
      </w:r>
      <w:r>
        <w:rPr>
          <w:b/>
          <w:i/>
        </w:rPr>
        <w:t>~</w:t>
      </w:r>
      <w:r>
        <w:rPr>
          <w:i/>
        </w:rPr>
        <w:t xml:space="preserve"> = type / weak ref · </w:t>
      </w:r>
      <w:r>
        <w:rPr>
          <w:b/>
          <w:i/>
        </w:rPr>
        <w:t>✗</w:t>
      </w:r>
      <w:r>
        <w:rPr>
          <w:i/>
        </w:rPr>
        <w:t xml:space="preserve"> = not resolvable · </w:t>
      </w:r>
      <w:r>
        <w:rPr>
          <w:b/>
          <w:i/>
        </w:rPr>
        <w:t>—</w:t>
      </w:r>
      <w:r>
        <w:rPr>
          <w:i/>
        </w:rPr>
        <w:t xml:space="preserve"> = exempt. Includes </w:t>
      </w:r>
      <w:r>
        <w:rPr>
          <w:b/>
          <w:i/>
        </w:rPr>
        <w:t>USDM class</w:t>
      </w:r>
      <w:r>
        <w:rPr>
          <w:i/>
        </w:rPr>
        <w:t xml:space="preserve"> (`usdm_entity` / `instanceType`) plus protocol source path when resolved.</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680"/>
        <w:gridCol w:w="1680"/>
        <w:gridCol w:w="1680"/>
        <w:gridCol w:w="1680"/>
        <w:gridCol w:w="1680"/>
        <w:gridCol w:w="1680"/>
      </w:tblGrid>
      <w:tr>
        <w:tc>
          <w:tcPr>
            <w:tcW w:type="dxa" w:w="3168"/>
            <w:shd w:fill="D9E2F3"/>
          </w:tcPr>
          <w:p>
            <w:r>
              <w:rPr>
                <w:rFonts w:ascii="Arial" w:hAnsi="Arial"/>
                <w:b/>
                <w:sz w:val="18"/>
              </w:rPr>
              <w:t>Subcategory text</w:t>
            </w:r>
          </w:p>
        </w:tc>
        <w:tc>
          <w:tcPr>
            <w:tcW w:type="dxa" w:w="720"/>
            <w:shd w:fill="D9E2F3"/>
          </w:tcPr>
          <w:p>
            <w:r>
              <w:rPr>
                <w:rFonts w:ascii="Arial" w:hAnsi="Arial"/>
                <w:b/>
                <w:sz w:val="18"/>
              </w:rPr>
              <w:t>Score</w:t>
            </w:r>
          </w:p>
        </w:tc>
        <w:tc>
          <w:tcPr>
            <w:tcW w:type="dxa" w:w="864"/>
            <w:shd w:fill="D9E2F3"/>
          </w:tcPr>
          <w:p>
            <w:r>
              <w:rPr>
                <w:rFonts w:ascii="Arial" w:hAnsi="Arial"/>
                <w:b/>
                <w:sz w:val="18"/>
              </w:rPr>
              <w:t>Match</w:t>
            </w:r>
          </w:p>
        </w:tc>
        <w:tc>
          <w:tcPr>
            <w:tcW w:type="dxa" w:w="864"/>
            <w:shd w:fill="D9E2F3"/>
          </w:tcPr>
          <w:p>
            <w:r>
              <w:rPr>
                <w:rFonts w:ascii="Arial" w:hAnsi="Arial"/>
                <w:b/>
                <w:sz w:val="18"/>
              </w:rPr>
              <w:t>YES/NO</w:t>
            </w:r>
          </w:p>
        </w:tc>
        <w:tc>
          <w:tcPr>
            <w:tcW w:type="dxa" w:w="1512"/>
            <w:shd w:fill="D9E2F3"/>
          </w:tcPr>
          <w:p>
            <w:r>
              <w:rPr>
                <w:rFonts w:ascii="Arial" w:hAnsi="Arial"/>
                <w:b/>
                <w:sz w:val="18"/>
              </w:rPr>
              <w:t>USDM</w:t>
            </w:r>
          </w:p>
        </w:tc>
        <w:tc>
          <w:tcPr>
            <w:tcW w:type="dxa" w:w="720"/>
            <w:shd w:fill="D9E2F3"/>
          </w:tcPr>
          <w:p>
            <w:r>
              <w:rPr>
                <w:rFonts w:ascii="Arial" w:hAnsi="Arial"/>
                <w:b/>
                <w:sz w:val="18"/>
              </w:rPr>
              <w:t>Conf.</w:t>
            </w:r>
          </w:p>
        </w:tc>
      </w:tr>
      <w:tr>
        <w:tc>
          <w:tcPr>
            <w:tcW w:type="dxa" w:w="3168"/>
          </w:tcPr>
          <w:p>
            <w:r>
              <w:rPr>
                <w:rFonts w:ascii="Arial" w:hAnsi="Arial"/>
                <w:sz w:val="18"/>
              </w:rPr>
              <w:t>Subject did not sign consent at age of majority</w:t>
            </w:r>
          </w:p>
        </w:tc>
        <w:tc>
          <w:tcPr>
            <w:tcW w:type="dxa" w:w="720"/>
          </w:tcPr>
          <w:p>
            <w:r>
              <w:rPr>
                <w:rFonts w:ascii="Arial" w:hAnsi="Arial"/>
                <w:sz w:val="18"/>
              </w:rPr>
              <w:t>100</w:t>
            </w:r>
          </w:p>
        </w:tc>
        <w:tc>
          <w:tcPr>
            <w:tcW w:type="dxa" w:w="864"/>
          </w:tcPr>
          <w:p>
            <w:r>
              <w:rPr>
                <w:rFonts w:ascii="Arial" w:hAnsi="Arial"/>
                <w:sz w:val="18"/>
              </w:rPr>
              <w:t>Verbatim</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Subject/LAR did not sign ICD &amp; did not give verbal consent</w:t>
            </w:r>
          </w:p>
        </w:tc>
        <w:tc>
          <w:tcPr>
            <w:tcW w:type="dxa" w:w="720"/>
          </w:tcPr>
          <w:p>
            <w:r>
              <w:rPr>
                <w:rFonts w:ascii="Arial" w:hAnsi="Arial"/>
                <w:sz w:val="18"/>
              </w:rPr>
              <w:t>100</w:t>
            </w:r>
          </w:p>
        </w:tc>
        <w:tc>
          <w:tcPr>
            <w:tcW w:type="dxa" w:w="864"/>
          </w:tcPr>
          <w:p>
            <w:r>
              <w:rPr>
                <w:rFonts w:ascii="Arial" w:hAnsi="Arial"/>
                <w:sz w:val="18"/>
              </w:rPr>
              <w:t>Verbatim</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Participant or the participant's legal guardian did not sign the main ICD/assent prior to first study procedure</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Revised ICD not signed at the first subject visits after the revised/approved ICD was available at site</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r>
        <w:tc>
          <w:tcPr>
            <w:tcW w:type="dxa" w:w="3168"/>
          </w:tcPr>
          <w:p>
            <w:r>
              <w:rPr>
                <w:rFonts w:ascii="Arial" w:hAnsi="Arial"/>
                <w:sz w:val="18"/>
              </w:rPr>
              <w:t>Study procedures were performed prior to ICD signed</w:t>
            </w:r>
          </w:p>
        </w:tc>
        <w:tc>
          <w:tcPr>
            <w:tcW w:type="dxa" w:w="720"/>
          </w:tcPr>
          <w:p>
            <w:r>
              <w:rPr>
                <w:rFonts w:ascii="Arial" w:hAnsi="Arial"/>
                <w:sz w:val="18"/>
              </w:rPr>
              <w:t>0</w:t>
            </w:r>
          </w:p>
        </w:tc>
        <w:tc>
          <w:tcPr>
            <w:tcW w:type="dxa" w:w="864"/>
          </w:tcPr>
          <w:p>
            <w:r>
              <w:rPr>
                <w:rFonts w:ascii="Arial" w:hAnsi="Arial"/>
                <w:sz w:val="18"/>
              </w:rPr>
              <w:t>Extra</w:t>
            </w:r>
          </w:p>
        </w:tc>
        <w:tc>
          <w:tcPr>
            <w:tcW w:type="dxa" w:w="864"/>
          </w:tcPr>
          <w:p>
            <w:r>
              <w:rPr>
                <w:rFonts w:ascii="Arial" w:hAnsi="Arial"/>
                <w:sz w:val="18"/>
              </w:rPr>
              <w:t>—</w:t>
            </w:r>
          </w:p>
        </w:tc>
        <w:tc>
          <w:tcPr>
            <w:tcW w:type="dxa" w:w="1512"/>
          </w:tcPr>
          <w:p>
            <w:r>
              <w:rPr>
                <w:rFonts w:ascii="Arial" w:hAnsi="Arial"/>
                <w:sz w:val="18"/>
              </w:rPr>
              <w:t>USDM class: `Activity`</w:t>
            </w:r>
          </w:p>
        </w:tc>
        <w:tc>
          <w:tcPr>
            <w:tcW w:type="dxa" w:w="720"/>
          </w:tcPr>
          <w:p>
            <w:r>
              <w:rPr>
                <w:rFonts w:ascii="Arial" w:hAnsi="Arial"/>
                <w:sz w:val="18"/>
              </w:rPr>
              <w:t>~</w:t>
            </w:r>
          </w:p>
        </w:tc>
      </w:tr>
    </w:tbl>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360"/>
        <w:gridCol w:w="3360"/>
        <w:gridCol w:w="3360"/>
      </w:tblGrid>
      <w:tr>
        <w:tc>
          <w:tcPr>
            <w:tcW w:type="dxa" w:w="3360"/>
            <w:shd w:fill="D9E2F3"/>
          </w:tcPr>
          <w:p>
            <w:r>
              <w:rPr>
                <w:rFonts w:ascii="Arial" w:hAnsi="Arial"/>
                <w:b/>
                <w:sz w:val="18"/>
              </w:rPr>
              <w:t>Near Miss</w:t>
            </w:r>
          </w:p>
        </w:tc>
        <w:tc>
          <w:tcPr>
            <w:tcW w:type="dxa" w:w="3360"/>
            <w:shd w:fill="D9E2F3"/>
          </w:tcPr>
          <w:p>
            <w:r>
              <w:rPr>
                <w:rFonts w:ascii="Arial" w:hAnsi="Arial"/>
                <w:b/>
                <w:sz w:val="18"/>
              </w:rPr>
              <w:t>Generated</w:t>
            </w:r>
          </w:p>
        </w:tc>
        <w:tc>
          <w:tcPr>
            <w:tcW w:type="dxa" w:w="3360"/>
            <w:shd w:fill="D9E2F3"/>
          </w:tcPr>
          <w:p>
            <w:r>
              <w:rPr>
                <w:rFonts w:ascii="Arial" w:hAnsi="Arial"/>
                <w:b/>
                <w:sz w:val="18"/>
              </w:rPr>
              <w:t>Ground Truth (Actual)</w:t>
            </w:r>
          </w:p>
        </w:tc>
      </w:tr>
      <w:tr>
        <w:tc>
          <w:tcPr>
            <w:tcW w:type="dxa" w:w="3360"/>
          </w:tcPr>
          <w:p>
            <w:r>
              <w:rPr>
                <w:rFonts w:ascii="Arial" w:hAnsi="Arial"/>
                <w:sz w:val="18"/>
              </w:rPr>
              <w:t>Near Miss B</w:t>
            </w:r>
          </w:p>
        </w:tc>
        <w:tc>
          <w:tcPr>
            <w:tcW w:type="dxa" w:w="3360"/>
          </w:tcPr>
          <w:p>
            <w:r>
              <w:rPr>
                <w:rFonts w:ascii="Arial" w:hAnsi="Arial"/>
                <w:sz w:val="18"/>
              </w:rPr>
              <w:t>Subject/LAR signed a superseded/outdated version of the ICD</w:t>
            </w:r>
          </w:p>
        </w:tc>
        <w:tc>
          <w:tcPr>
            <w:tcW w:type="dxa" w:w="3360"/>
          </w:tcPr>
          <w:p>
            <w:r>
              <w:rPr>
                <w:rFonts w:ascii="Arial" w:hAnsi="Arial"/>
                <w:sz w:val="18"/>
              </w:rPr>
              <w:t>Subject/LAR signed and dated ICD after screen/enroll date</w:t>
            </w:r>
          </w:p>
        </w:tc>
      </w:tr>
    </w:tbl>
    <w:p/>
    <w:p>
      <w:pPr>
        <w:ind w:left="360"/>
      </w:pPr>
      <w:r>
        <w:rPr>
          <w:b/>
          <w:i w:val="0"/>
        </w:rPr>
        <w:t>MISS:</w:t>
      </w:r>
      <w:r>
        <w:rPr>
          <w:i w:val="0"/>
        </w:rPr>
        <w:t xml:space="preserve"> Subject/LAR did not sign the ICD but gave verbal consent — not generated.</w:t>
      </w:r>
    </w:p>
    <w:p>
      <w:pPr>
        <w:spacing w:before="200" w:after="80"/>
      </w:pPr>
      <w:r>
        <w:rPr>
          <w:b/>
          <w:sz w:val="22"/>
        </w:rPr>
        <w:t>4. Improvement Actions</w:t>
      </w:r>
    </w:p>
    <w:p>
      <w:r>
        <w:rPr>
          <w:i/>
        </w:rPr>
        <w:t>Actions derived from eval scoring. Prioritised for generator developer.</w:t>
      </w:r>
    </w:p>
    <w:p>
      <w:pPr>
        <w:spacing w:before="200" w:after="80"/>
      </w:pPr>
      <w:r>
        <w:rPr>
          <w:b/>
          <w:sz w:val="22"/>
        </w:rPr>
        <w:t>M1 remediation: generated vs ground truth</w:t>
      </w:r>
    </w:p>
    <w:p>
      <w:r>
        <w:rPr>
          <w:i/>
        </w:rPr>
        <w:t xml:space="preserve">Each bullet is a </w:t>
      </w:r>
      <w:r>
        <w:rPr>
          <w:b/>
          <w:i/>
        </w:rPr>
        <w:t>pairing</w:t>
      </w:r>
      <w:r>
        <w:rPr>
          <w:i/>
        </w:rPr>
        <w:t xml:space="preserve"> from the evaluator: </w:t>
      </w:r>
      <w:r>
        <w:rPr>
          <w:b/>
          <w:i/>
        </w:rPr>
        <w:t>Generated</w:t>
      </w:r>
      <w:r>
        <w:rPr>
          <w:i/>
        </w:rPr>
        <w:t xml:space="preserve"> is what the model output; </w:t>
      </w:r>
      <w:r>
        <w:rPr>
          <w:b/>
          <w:i/>
        </w:rPr>
        <w:t>GT</w:t>
      </w:r>
      <w:r>
        <w:rPr>
          <w:i/>
        </w:rPr>
        <w:t xml:space="preserve"> is the ground-truth label it was matched to. </w:t>
      </w:r>
      <w:r>
        <w:rPr>
          <w:b/>
          <w:i/>
        </w:rPr>
        <w:t>Strict</w:t>
      </w:r>
      <w:r>
        <w:rPr>
          <w:i/>
        </w:rPr>
        <w:t xml:space="preserve"> = edit-distance / numbering near-miss rules. </w:t>
      </w:r>
      <w:r>
        <w:rPr>
          <w:b/>
          <w:i/>
        </w:rPr>
        <w:t>Paraphrase</w:t>
      </w:r>
      <w:r>
        <w:rPr>
          <w:i/>
        </w:rPr>
        <w:t xml:space="preserve"> = same deviation in different wording (e.g. long vs short line) when strict rules did not fire.</w:t>
      </w:r>
    </w:p>
    <w:p>
      <w:r>
        <w:rPr>
          <w:b/>
        </w:rPr>
        <w:t>Strict near-miss (partial credit)</w:t>
      </w:r>
    </w:p>
    <w:p>
      <w:pPr>
        <w:pStyle w:val="ListBullet"/>
      </w:pPr>
      <w:r>
        <w:rPr>
          <w:b/>
          <w:i w:val="0"/>
        </w:rPr>
        <w:t>Cat 3</w:t>
      </w:r>
      <w:r>
        <w:rPr>
          <w:i w:val="0"/>
        </w:rPr>
        <w:t xml:space="preserve"> — </w:t>
      </w:r>
      <w:r>
        <w:rPr>
          <w:b/>
          <w:i w:val="0"/>
        </w:rPr>
        <w:t>Generated:</w:t>
      </w:r>
      <w:r>
        <w:rPr>
          <w:i w:val="0"/>
        </w:rPr>
        <w:t xml:space="preserve"> Participant received rescue medication for COVID-19 that was not specified as per protocol  </w:t>
      </w:r>
      <w:r>
        <w:rPr>
          <w:b/>
          <w:i w:val="0"/>
        </w:rPr>
        <w:t>GT:</w:t>
      </w:r>
      <w:r>
        <w:rPr>
          <w:i w:val="0"/>
        </w:rPr>
        <w:t xml:space="preserve"> Took permitted concomitant medication/vaccine, but not as specified per protocol  _(cause: )_</w:t>
      </w:r>
    </w:p>
    <w:p>
      <w:pPr>
        <w:pStyle w:val="ListBullet"/>
      </w:pPr>
      <w:r>
        <w:rPr>
          <w:b/>
          <w:i w:val="0"/>
        </w:rPr>
        <w:t>Cat 5</w:t>
      </w:r>
      <w:r>
        <w:rPr>
          <w:i w:val="0"/>
        </w:rPr>
        <w:t xml:space="preserve"> — </w:t>
      </w:r>
      <w:r>
        <w:rPr>
          <w:b/>
          <w:i w:val="0"/>
        </w:rPr>
        <w:t>Generated:</w:t>
      </w:r>
      <w:r>
        <w:rPr>
          <w:i w:val="0"/>
        </w:rPr>
        <w:t xml:space="preserve"> Day 34 visit was not performed  </w:t>
      </w:r>
      <w:r>
        <w:rPr>
          <w:b/>
          <w:i w:val="0"/>
        </w:rPr>
        <w:t>GT:</w:t>
      </w:r>
      <w:r>
        <w:rPr>
          <w:i w:val="0"/>
        </w:rPr>
        <w:t xml:space="preserve"> Visit not done  _(cause: )_</w:t>
      </w:r>
    </w:p>
    <w:p>
      <w:pPr>
        <w:pStyle w:val="ListBullet"/>
      </w:pPr>
      <w:r>
        <w:rPr>
          <w:b/>
          <w:i w:val="0"/>
        </w:rPr>
        <w:t>Cat 6</w:t>
      </w:r>
      <w:r>
        <w:rPr>
          <w:i w:val="0"/>
        </w:rPr>
        <w:t xml:space="preserve"> — </w:t>
      </w:r>
      <w:r>
        <w:rPr>
          <w:b/>
          <w:i w:val="0"/>
        </w:rPr>
        <w:t>Generated:</w:t>
      </w:r>
      <w:r>
        <w:rPr>
          <w:i w:val="0"/>
        </w:rPr>
        <w:t xml:space="preserve"> Abnormal procedure/test result not followed up per protocol  </w:t>
      </w:r>
      <w:r>
        <w:rPr>
          <w:b/>
          <w:i w:val="0"/>
        </w:rPr>
        <w:t>GT:</w:t>
      </w:r>
      <w:r>
        <w:rPr>
          <w:i w:val="0"/>
        </w:rPr>
        <w:t xml:space="preserve"> Abnormal procedure/test result not followed up per protocol eDiary compliance: COVID-19/PGI symptoms daily diary overall completion below 75% eDiary compliance: Long COVID-19 symptoms weekly diary overall completion below 75%  _(cause: )_</w:t>
      </w:r>
    </w:p>
    <w:p>
      <w:pPr>
        <w:pStyle w:val="ListBullet"/>
      </w:pPr>
      <w:r>
        <w:rPr>
          <w:b/>
          <w:i w:val="0"/>
        </w:rPr>
        <w:t>Cat 6</w:t>
      </w:r>
      <w:r>
        <w:rPr>
          <w:i w:val="0"/>
        </w:rPr>
        <w:t xml:space="preserve"> — </w:t>
      </w:r>
      <w:r>
        <w:rPr>
          <w:b/>
          <w:i w:val="0"/>
        </w:rPr>
        <w:t>Generated:</w:t>
      </w:r>
      <w:r>
        <w:rPr>
          <w:i w:val="0"/>
        </w:rPr>
        <w:t xml:space="preserve"> Contraception counseling or contraception check during study visits not done  </w:t>
      </w:r>
      <w:r>
        <w:rPr>
          <w:b/>
          <w:i w:val="0"/>
        </w:rPr>
        <w:t>GT:</w:t>
      </w:r>
      <w:r>
        <w:rPr>
          <w:i w:val="0"/>
        </w:rPr>
        <w:t xml:space="preserve"> Procedures for contraception counseling/contraception requirements not followed  _(cause: )_</w:t>
      </w:r>
    </w:p>
    <w:p>
      <w:pPr>
        <w:pStyle w:val="ListBullet"/>
      </w:pPr>
      <w:r>
        <w:rPr>
          <w:b/>
          <w:i w:val="0"/>
        </w:rPr>
        <w:t>Cat 8</w:t>
      </w:r>
      <w:r>
        <w:rPr>
          <w:i w:val="0"/>
        </w:rPr>
        <w:t xml:space="preserve"> — </w:t>
      </w:r>
      <w:r>
        <w:rPr>
          <w:b/>
          <w:i w:val="0"/>
        </w:rPr>
        <w:t>Generated:</w:t>
      </w:r>
      <w:r>
        <w:rPr>
          <w:i w:val="0"/>
        </w:rPr>
        <w:t xml:space="preserve"> AE/SAE was not recorded in Clinical Database  </w:t>
      </w:r>
      <w:r>
        <w:rPr>
          <w:b/>
          <w:i w:val="0"/>
        </w:rPr>
        <w:t>GT:</w:t>
      </w:r>
      <w:r>
        <w:rPr>
          <w:i w:val="0"/>
        </w:rPr>
        <w:t xml:space="preserve"> SAE/EIU not reported in clinical database  _(cause: )_</w:t>
      </w:r>
    </w:p>
    <w:p>
      <w:pPr>
        <w:pStyle w:val="ListBullet"/>
      </w:pPr>
      <w:r>
        <w:rPr>
          <w:b/>
          <w:i w:val="0"/>
        </w:rPr>
        <w:t>Cat 8</w:t>
      </w:r>
      <w:r>
        <w:rPr>
          <w:i w:val="0"/>
        </w:rPr>
        <w:t xml:space="preserve"> — </w:t>
      </w:r>
      <w:r>
        <w:rPr>
          <w:b/>
          <w:i w:val="0"/>
        </w:rPr>
        <w:t>Generated:</w:t>
      </w:r>
      <w:r>
        <w:rPr>
          <w:i w:val="0"/>
        </w:rPr>
        <w:t xml:space="preserve"> SAE reporting was delayed or not reported to IEC or IRB per local regulations  </w:t>
      </w:r>
      <w:r>
        <w:rPr>
          <w:b/>
          <w:i w:val="0"/>
        </w:rPr>
        <w:t>GT:</w:t>
      </w:r>
      <w:r>
        <w:rPr>
          <w:i w:val="0"/>
        </w:rPr>
        <w:t xml:space="preserve"> SAE/EIU not reported to IRB per local regulations  _(cause: )_</w:t>
      </w:r>
    </w:p>
    <w:p>
      <w:pPr>
        <w:pStyle w:val="ListBullet"/>
      </w:pPr>
      <w:r>
        <w:rPr>
          <w:b/>
          <w:i w:val="0"/>
        </w:rPr>
        <w:t>Cat 9</w:t>
      </w:r>
      <w:r>
        <w:rPr>
          <w:i w:val="0"/>
        </w:rPr>
        <w:t xml:space="preserve"> — </w:t>
      </w:r>
      <w:r>
        <w:rPr>
          <w:b/>
          <w:i w:val="0"/>
        </w:rPr>
        <w:t>Generated:</w:t>
      </w:r>
      <w:r>
        <w:rPr>
          <w:i w:val="0"/>
        </w:rPr>
        <w:t xml:space="preserve"> Participant was discontinued from study intervention or the study but did not meet protocol-specified discontinuation criteria  </w:t>
      </w:r>
      <w:r>
        <w:rPr>
          <w:b/>
          <w:i w:val="0"/>
        </w:rPr>
        <w:t>GT:</w:t>
      </w:r>
      <w:r>
        <w:rPr>
          <w:i w:val="0"/>
        </w:rPr>
        <w:t xml:space="preserve"> Subject was discontinued but did not meet discontinuation criteria  _(cause: )_</w:t>
      </w:r>
    </w:p>
    <w:p>
      <w:pPr>
        <w:pStyle w:val="ListBullet"/>
      </w:pPr>
      <w:r>
        <w:rPr>
          <w:b/>
          <w:i w:val="0"/>
        </w:rPr>
        <w:t>Cat 9</w:t>
      </w:r>
      <w:r>
        <w:rPr>
          <w:i w:val="0"/>
        </w:rPr>
        <w:t xml:space="preserve"> — </w:t>
      </w:r>
      <w:r>
        <w:rPr>
          <w:b/>
          <w:i w:val="0"/>
        </w:rPr>
        <w:t>Generated:</w:t>
      </w:r>
      <w:r>
        <w:rPr>
          <w:i w:val="0"/>
        </w:rPr>
        <w:t xml:space="preserve"> Participant met protocol-specified criteria for discontinuation of study intervention or withdrawal from the study but was not withdrawn  </w:t>
      </w:r>
      <w:r>
        <w:rPr>
          <w:b/>
          <w:i w:val="0"/>
        </w:rPr>
        <w:t>GT:</w:t>
      </w:r>
      <w:r>
        <w:rPr>
          <w:i w:val="0"/>
        </w:rPr>
        <w:t xml:space="preserve"> Participant developed withdrawal criteria during the study but was not withdrawn  _(cause: )_</w:t>
      </w:r>
    </w:p>
    <w:p>
      <w:pPr>
        <w:pStyle w:val="ListBullet"/>
      </w:pPr>
      <w:r>
        <w:rPr>
          <w:b/>
          <w:i w:val="0"/>
        </w:rPr>
        <w:t>Cat 11</w:t>
      </w:r>
      <w:r>
        <w:rPr>
          <w:i w:val="0"/>
        </w:rPr>
        <w:t xml:space="preserve"> — </w:t>
      </w:r>
      <w:r>
        <w:rPr>
          <w:b/>
          <w:i w:val="0"/>
        </w:rPr>
        <w:t>Generated:</w:t>
      </w:r>
      <w:r>
        <w:rPr>
          <w:i w:val="0"/>
        </w:rPr>
        <w:t xml:space="preserve"> Subject/LAR signed a superseded/outdated version of the ICD  </w:t>
      </w:r>
      <w:r>
        <w:rPr>
          <w:b/>
          <w:i w:val="0"/>
        </w:rPr>
        <w:t>GT:</w:t>
      </w:r>
      <w:r>
        <w:rPr>
          <w:i w:val="0"/>
        </w:rPr>
        <w:t xml:space="preserve"> Subject/LAR signed and dated ICD after screen/enroll date  _(cause: )_</w:t>
      </w:r>
    </w:p>
    <w:p>
      <w:r>
        <w:rPr>
          <w:i/>
        </w:rPr>
        <w:t>Structured table: remaining typed failures after M1 pairing (strict near-miss + paraphrase). Same-topic miss–extra pairs resolved above are removed from the miss/extra lists.</w:t>
      </w:r>
    </w:p>
    <w:tbl>
      <w:tblPr>
        <w:tblStyle w:val="TableGrid"/>
        <w:tblW w:type="auto" w:w="0"/>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016"/>
        <w:gridCol w:w="2016"/>
        <w:gridCol w:w="2016"/>
        <w:gridCol w:w="2016"/>
        <w:gridCol w:w="2016"/>
      </w:tblGrid>
      <w:tr>
        <w:tc>
          <w:tcPr>
            <w:tcW w:type="dxa" w:w="2016"/>
            <w:shd w:fill="D9E2F3"/>
          </w:tcPr>
          <w:p>
            <w:r>
              <w:rPr>
                <w:rFonts w:ascii="Arial" w:hAnsi="Arial"/>
                <w:b/>
                <w:sz w:val="18"/>
              </w:rPr>
              <w:t>Priority</w:t>
            </w:r>
          </w:p>
        </w:tc>
        <w:tc>
          <w:tcPr>
            <w:tcW w:type="dxa" w:w="2016"/>
            <w:shd w:fill="D9E2F3"/>
          </w:tcPr>
          <w:p>
            <w:r>
              <w:rPr>
                <w:rFonts w:ascii="Arial" w:hAnsi="Arial"/>
                <w:b/>
                <w:sz w:val="18"/>
              </w:rPr>
              <w:t>Category</w:t>
            </w:r>
          </w:p>
        </w:tc>
        <w:tc>
          <w:tcPr>
            <w:tcW w:type="dxa" w:w="2016"/>
            <w:shd w:fill="D9E2F3"/>
          </w:tcPr>
          <w:p>
            <w:r>
              <w:rPr>
                <w:rFonts w:ascii="Arial" w:hAnsi="Arial"/>
                <w:b/>
                <w:sz w:val="18"/>
              </w:rPr>
              <w:t>Type</w:t>
            </w:r>
          </w:p>
        </w:tc>
        <w:tc>
          <w:tcPr>
            <w:tcW w:type="dxa" w:w="2016"/>
            <w:shd w:fill="D9E2F3"/>
          </w:tcPr>
          <w:p>
            <w:r>
              <w:rPr>
                <w:rFonts w:ascii="Arial" w:hAnsi="Arial"/>
                <w:b/>
                <w:sz w:val="18"/>
              </w:rPr>
              <w:t>Action</w:t>
            </w:r>
          </w:p>
        </w:tc>
        <w:tc>
          <w:tcPr>
            <w:tcW w:type="dxa" w:w="2016"/>
            <w:shd w:fill="D9E2F3"/>
          </w:tcPr>
          <w:p>
            <w:r>
              <w:rPr>
                <w:rFonts w:ascii="Arial" w:hAnsi="Arial"/>
                <w:b/>
                <w:sz w:val="18"/>
              </w:rPr>
              <w:t>Fix location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1 met: Current or anticipated need for hospitalization within 24 hours..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10 met: Current use of any prohibited concomitant medication(s)..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11 met: Has received any other antiviral or COVID-19 mAbs for the treatment of COVID-19 within 30 days or 5 half-lives prior to screening or covalescent COVID-19 plasma within 12 months..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12 met: Received any dose of a COVID-19 vaccine within 4 months of randomization or expected to receive one through Day 34..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13 met: Previous administration of an investigational product (drug or vaccine) within 30 days or 5 half-lives (whichever is longer) preceding the first dose of study intervention..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14 met: Prior participation in this clinical trial orany other clinical trial of ibuzatrelvir..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15 met: Investigator site staff directly involved in study conduct and their family, site staff otherwise supervised by the investigator, and sponsor and sponsor delegate employees directly involved in study conduct and their family..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2 met: Receiving dialysis or have known severe renal impairment (eGFR consistently &lt;30 mL/min/1.73 m^2 for adults or CrCl &lt;30 mL/min for adolescents)..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3 met: Active liver disease with AST or ALT &gt;3 ULN, Total bilirubin ≥2 × ULN (for Gilbert’s syndrome, direct bilirubin &gt;ULN is exclusionary) within the past 3 months, or liver function impairment with Class C per Child Pugh classification..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4 met: Suspected or confirmed concurrent active systemicinfection other than COVID-19 that may interfere with the evaluation of response to the study intervention..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5 met: Ongoing Long COVID or PASC diagnosis..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6 met: Severely immunocompromised (see Appendix 13)..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7 met: Comorbidity requiring hospitalization and/or surgery within 7 days prior to study entry, or that is considered life threatening within 30 days prior to study entry..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8 met: History of hypersensitivity or other contraindication to any of the components of the study intervention..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Excl 9 met: Any medical or psychiatric condition including recent (within the past year) or active suicidal ideation/behavior that makes the participant inappropriate for the study..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Incl 1 not met: 12 to &lt;18 years of age, weighing at least 40 kg, or ≥18 years of age of any weight or WOCBP agrees to use highly effective contraception..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Incl 2 not met: Presence of risk factors for progression to severe COVID-19 based on age..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Incl 3 not met: Positive RAT nasal or NP specimen within 1 day prior to randomization / symptoms onset within 5 days prior to randomization..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Incl 4 not met: Unable or unwilling to take nirmatrelvir/ritonavir treatment for reasons listed in Appendix 11..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M1_HALLUCINATED</w:t>
            </w:r>
          </w:p>
        </w:tc>
        <w:tc>
          <w:tcPr>
            <w:tcW w:type="dxa" w:w="2016"/>
          </w:tcPr>
          <w:p>
            <w:r>
              <w:rPr>
                <w:rFonts w:ascii="Arial" w:hAnsi="Arial"/>
                <w:sz w:val="18"/>
              </w:rPr>
              <w:t>Generated line is not in GT (extra): Contraception not confirmed/used prior to Day 1 as required per protocol.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did not meet one or more inclusion criteria but was randomized to the study treatment.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met all eligibility criteria but source documentation is incomplete or missing.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met all eligibility criteria but was randomized prior to assessment of all eligibility criteria.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1</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met one or more exclusion criteria but was randomized to the study treatment.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LOW</w:t>
            </w:r>
          </w:p>
        </w:tc>
        <w:tc>
          <w:tcPr>
            <w:tcW w:type="dxa" w:w="2016"/>
          </w:tcPr>
          <w:p>
            <w:r>
              <w:rPr>
                <w:rFonts w:ascii="Arial" w:hAnsi="Arial"/>
                <w:sz w:val="18"/>
              </w:rPr>
              <w:t>Cat 1</w:t>
            </w:r>
          </w:p>
        </w:tc>
        <w:tc>
          <w:tcPr>
            <w:tcW w:type="dxa" w:w="2016"/>
          </w:tcPr>
          <w:p>
            <w:r>
              <w:rPr>
                <w:rFonts w:ascii="Arial" w:hAnsi="Arial"/>
                <w:sz w:val="18"/>
              </w:rPr>
              <w:t>M2_WRONG_FLAG</w:t>
            </w:r>
          </w:p>
        </w:tc>
        <w:tc>
          <w:tcPr>
            <w:tcW w:type="dxa" w:w="2016"/>
          </w:tcPr>
          <w:p>
            <w:r>
              <w:rPr>
                <w:rFonts w:ascii="Arial" w:hAnsi="Arial"/>
                <w:sz w:val="18"/>
              </w:rPr>
              <w:t>GT=YES Gen=NO 'Pending Site Monitor Action Inc/Excl'</w:t>
            </w:r>
          </w:p>
        </w:tc>
        <w:tc>
          <w:tcPr>
            <w:tcW w:type="dxa" w:w="2016"/>
          </w:tcPr>
          <w:p>
            <w:r>
              <w:rPr>
                <w:rFonts w:ascii="Arial" w:hAnsi="Arial"/>
                <w:sz w:val="18"/>
              </w:rPr>
              <w:t>Adjust yes_rate threshold in deviation_benchmarks.yaml</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Dosing/Administration error.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Dosing/Administration error: Additional dose administered.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Dosing/Administration error: Two or more consecutive doses missed.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Dosing/Administration error: three or more doses missed.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Storage error.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M1_HALLUCINATED</w:t>
            </w:r>
          </w:p>
        </w:tc>
        <w:tc>
          <w:tcPr>
            <w:tcW w:type="dxa" w:w="2016"/>
          </w:tcPr>
          <w:p>
            <w:r>
              <w:rPr>
                <w:rFonts w:ascii="Arial" w:hAnsi="Arial"/>
                <w:sz w:val="18"/>
              </w:rPr>
              <w:t>Generated line is not in GT (extra): IP accountability not done.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M1_HALLUCINATED</w:t>
            </w:r>
          </w:p>
        </w:tc>
        <w:tc>
          <w:tcPr>
            <w:tcW w:type="dxa" w:w="2016"/>
          </w:tcPr>
          <w:p>
            <w:r>
              <w:rPr>
                <w:rFonts w:ascii="Arial" w:hAnsi="Arial"/>
                <w:sz w:val="18"/>
              </w:rPr>
              <w:t>Generated line is not in GT (extra): Medication Error: Administration of IP by wrong subject, or at the wrong time, or at wrong dose, or other use outside the protocol.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compliance is &lt;80% at one or more visits.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compliance is &gt;120% at one or more visits.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2</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took IP which was not viable due to shipping/storage conditions.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3</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Mandatory concomitant medication/vaccine not taken/administered or not used as specified per protocol.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3</w:t>
            </w:r>
          </w:p>
        </w:tc>
        <w:tc>
          <w:tcPr>
            <w:tcW w:type="dxa" w:w="2016"/>
          </w:tcPr>
          <w:p>
            <w:r>
              <w:rPr>
                <w:rFonts w:ascii="Arial" w:hAnsi="Arial"/>
                <w:sz w:val="18"/>
              </w:rPr>
              <w:t>M1_MISSING_SUBCAT</w:t>
            </w:r>
          </w:p>
        </w:tc>
        <w:tc>
          <w:tcPr>
            <w:tcW w:type="dxa" w:w="2016"/>
          </w:tcPr>
          <w:p>
            <w:r>
              <w:rPr>
                <w:rFonts w:ascii="Arial" w:hAnsi="Arial"/>
                <w:sz w:val="18"/>
              </w:rPr>
              <w:t>GT expects this subcategory line, but it was not generated: Took prohibited concomitant medication/vaccine. Likely causes: Few-shot examples missing this subcat OR USDM extractor missed entity</w:t>
            </w:r>
          </w:p>
        </w:tc>
        <w:tc>
          <w:tcPr>
            <w:tcW w:type="dxa" w:w="2016"/>
          </w:tcPr>
          <w:p>
            <w:r>
              <w:rPr>
                <w:rFonts w:ascii="Arial" w:hAnsi="Arial"/>
                <w:sz w:val="18"/>
              </w:rPr>
              <w:t>Add train example with this subcat. Check extract_cat function.</w:t>
            </w:r>
          </w:p>
        </w:tc>
      </w:tr>
      <w:tr>
        <w:tc>
          <w:tcPr>
            <w:tcW w:type="dxa" w:w="2016"/>
          </w:tcPr>
          <w:p>
            <w:r>
              <w:rPr>
                <w:rFonts w:ascii="Arial" w:hAnsi="Arial"/>
                <w:sz w:val="18"/>
              </w:rPr>
              <w:t>MEDIUM</w:t>
            </w:r>
          </w:p>
        </w:tc>
        <w:tc>
          <w:tcPr>
            <w:tcW w:type="dxa" w:w="2016"/>
          </w:tcPr>
          <w:p>
            <w:r>
              <w:rPr>
                <w:rFonts w:ascii="Arial" w:hAnsi="Arial"/>
                <w:sz w:val="18"/>
              </w:rPr>
              <w:t>Cat 3</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received a prohibited COVID-19 vaccine during the restricted study period (through Day 34).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3</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took a prohibited medication that could potentially impact efficacy assessments (e.g., other COVID-19 antivirals, mAbs, or convalescent plasma).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MEDIUM</w:t>
            </w:r>
          </w:p>
        </w:tc>
        <w:tc>
          <w:tcPr>
            <w:tcW w:type="dxa" w:w="2016"/>
          </w:tcPr>
          <w:p>
            <w:r>
              <w:rPr>
                <w:rFonts w:ascii="Arial" w:hAnsi="Arial"/>
                <w:sz w:val="18"/>
              </w:rPr>
              <w:t>Cat 3</w:t>
            </w:r>
          </w:p>
        </w:tc>
        <w:tc>
          <w:tcPr>
            <w:tcW w:type="dxa" w:w="2016"/>
          </w:tcPr>
          <w:p>
            <w:r>
              <w:rPr>
                <w:rFonts w:ascii="Arial" w:hAnsi="Arial"/>
                <w:sz w:val="18"/>
              </w:rPr>
              <w:t>M1_HALLUCINATED</w:t>
            </w:r>
          </w:p>
        </w:tc>
        <w:tc>
          <w:tcPr>
            <w:tcW w:type="dxa" w:w="2016"/>
          </w:tcPr>
          <w:p>
            <w:r>
              <w:rPr>
                <w:rFonts w:ascii="Arial" w:hAnsi="Arial"/>
                <w:sz w:val="18"/>
              </w:rPr>
              <w:t>Generated line is not in GT (extra): Participant took a prohibited medication that could potentially impact the metabolism of the study drug (ibuzatrelvir). Likely causes: Too many USDM entities injected OR model generating from noise</w:t>
            </w:r>
          </w:p>
        </w:tc>
        <w:tc>
          <w:tcPr>
            <w:tcW w:type="dxa" w:w="2016"/>
          </w:tcPr>
          <w:p>
            <w:r>
              <w:rPr>
                <w:rFonts w:ascii="Arial" w:hAnsi="Arial"/>
                <w:sz w:val="18"/>
              </w:rPr>
              <w:t>Tighten USDM extraction scope. Strengthen post-gen validation.</w:t>
            </w:r>
          </w:p>
        </w:tc>
      </w:tr>
      <w:tr>
        <w:tc>
          <w:tcPr>
            <w:tcW w:type="dxa" w:w="2016"/>
          </w:tcPr>
          <w:p>
            <w:r>
              <w:rPr>
                <w:rFonts w:ascii="Arial" w:hAnsi="Arial"/>
                <w:sz w:val="18"/>
              </w:rPr>
              <w:t>…</w:t>
            </w:r>
          </w:p>
        </w:tc>
        <w:tc>
          <w:tcPr>
            <w:tcW w:type="dxa" w:w="2016"/>
          </w:tcPr>
          <w:p>
            <w:r>
              <w:rPr>
                <w:rFonts w:ascii="Arial" w:hAnsi="Arial"/>
                <w:sz w:val="18"/>
              </w:rPr>
              <w:t>…</w:t>
            </w:r>
          </w:p>
        </w:tc>
        <w:tc>
          <w:tcPr>
            <w:tcW w:type="dxa" w:w="2016"/>
          </w:tcPr>
          <w:p>
            <w:r>
              <w:rPr>
                <w:rFonts w:ascii="Arial" w:hAnsi="Arial"/>
                <w:sz w:val="18"/>
              </w:rPr>
              <w:t>…</w:t>
            </w:r>
          </w:p>
        </w:tc>
        <w:tc>
          <w:tcPr>
            <w:tcW w:type="dxa" w:w="2016"/>
          </w:tcPr>
          <w:p>
            <w:r>
              <w:rPr>
                <w:rFonts w:ascii="Arial" w:hAnsi="Arial"/>
                <w:sz w:val="18"/>
              </w:rPr>
              <w:t>*(39 more in JSON)*</w:t>
            </w:r>
          </w:p>
        </w:tc>
        <w:tc>
          <w:tcPr>
            <w:tcW w:type="dxa" w:w="2016"/>
          </w:tcPr>
          <w:p>
            <w:r>
              <w:rPr>
                <w:rFonts w:ascii="Arial" w:hAnsi="Arial"/>
                <w:sz w:val="18"/>
              </w:rPr>
              <w:t>…</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