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after="120"/>
      </w:pPr>
      <w:r>
        <w:rPr>
          <w:b w:val="0"/>
          <w:i w:val="0"/>
          <w:sz w:val="22"/>
        </w:rPr>
        <w:t>Pfizer Protocol Intelligence Platform | D2: Risk Profile Generator | Eval Report | C4891023</w:t>
      </w:r>
    </w:p>
    <w:p/>
    <w:p>
      <w:pPr>
        <w:spacing w:lineRule="auto" w:line="276" w:after="120"/>
        <w:jc w:val="center"/>
      </w:pPr>
      <w:r>
        <w:rPr>
          <w:b/>
          <w:i w:val="0"/>
          <w:sz w:val="32"/>
        </w:rPr>
        <w:t>PFIZER PROTOCOL INTELLIGENCE PLATFORM</w:t>
      </w:r>
    </w:p>
    <w:p>
      <w:pPr>
        <w:spacing w:lineRule="auto" w:line="276" w:after="120"/>
        <w:jc w:val="center"/>
      </w:pPr>
      <w:r>
        <w:rPr>
          <w:b/>
          <w:i w:val="0"/>
          <w:sz w:val="28"/>
        </w:rPr>
        <w:t>Risk Profile Generator — Eval Report</w:t>
      </w:r>
    </w:p>
    <w:p>
      <w:pPr>
        <w:spacing w:lineRule="auto" w:line="276" w:after="120"/>
        <w:jc w:val="center"/>
      </w:pPr>
      <w:r>
        <w:rPr>
          <w:b w:val="0"/>
          <w:i w:val="0"/>
          <w:sz w:val="22"/>
        </w:rPr>
        <w:t>C4891023 — -- (PF-07850327) — PHASE PHASE I/II TRIAL ER+ advanced or metastatic breast cancer</w:t>
      </w:r>
    </w:p>
    <w:p>
      <w:pPr>
        <w:spacing w:lineRule="auto" w:line="276" w:after="120"/>
        <w:jc w:val="center"/>
      </w:pPr>
      <w:r>
        <w:rPr>
          <w:b w:val="0"/>
          <w:i w:val="0"/>
          <w:sz w:val="22"/>
        </w:rPr>
        <w:t>Eval date: 2026-04-20 | Generator: v1.0 | Config: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8"/>
              </w:rPr>
              <w:t>DOCUMENT SCORE</w:t>
            </w:r>
          </w:p>
          <w:p>
            <w:pPr>
              <w:spacing w:lineRule="auto" w:line="276" w:after="120"/>
            </w:pPr>
            <w:r>
              <w:rPr>
                <w:b w:val="0"/>
                <w:i w:val="0"/>
                <w:sz w:val="22"/>
              </w:rPr>
              <w:t>Oncology / PHASE II — oncology_phase_ii</w:t>
            </w:r>
          </w:p>
        </w:tc>
        <w:tc>
          <w:tcPr>
            <w:tcW w:type="dxa" w:w="2880"/>
          </w:tcPr>
          <w:p>
            <w:pPr>
              <w:spacing w:lineRule="auto" w:line="276" w:after="120"/>
              <w:jc w:val="center"/>
            </w:pPr>
            <w:r/>
            <w:r>
              <w:rPr>
                <w:b/>
                <w:i w:val="0"/>
                <w:sz w:val="56"/>
              </w:rPr>
              <w:t>33.3</w:t>
              <w:br/>
            </w:r>
          </w:p>
          <w:p>
            <w:pPr>
              <w:spacing w:lineRule="auto" w:line="276" w:after="120"/>
              <w:jc w:val="center"/>
            </w:pPr>
            <w:r>
              <w:rPr>
                <w:b w:val="0"/>
                <w:i w:val="0"/>
                <w:sz w:val="28"/>
              </w:rPr>
              <w:t>/ 100</w:t>
            </w:r>
          </w:p>
        </w:tc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C00000"/>
                <w:sz w:val="28"/>
              </w:rPr>
              <w:t>FAIL ✗</w:t>
            </w:r>
          </w:p>
          <w:p>
            <w:pPr>
              <w:spacing w:lineRule="auto" w:line="276" w:after="120"/>
            </w:pPr>
            <w:r>
              <w:rPr>
                <w:b w:val="0"/>
                <w:i w:val="0"/>
                <w:sz w:val="22"/>
              </w:rPr>
              <w:t>Threshold: 75</w:t>
              <w:br/>
              <w:t>Target: 80</w:t>
            </w:r>
          </w:p>
        </w:tc>
      </w:tr>
    </w:tbl>
    <w:p/>
    <w:p>
      <w:pPr>
        <w:pStyle w:val="Heading1"/>
      </w:pPr>
      <w: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Target</w:t>
            </w:r>
          </w:p>
        </w:tc>
        <w:tc>
          <w:tcPr>
            <w:tcW w:type="dxa" w:w="136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Pass/Fail</w:t>
            </w:r>
          </w:p>
        </w:tc>
        <w:tc>
          <w:tcPr>
            <w:tcW w:type="dxa" w:w="280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M1 Risk name recall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85%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risk_profile_ground_truth.csv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M2 RPN tier (±1)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90%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SKIP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risk_profile_ground_truth.csv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M3 Critical factor match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80%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critical_factors_ground_truth.csv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M4 Provenance defects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28 (semantic unmatched risks: 8)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 existence gate + USDM / benchmark provenance rules</w:t>
            </w:r>
          </w:p>
        </w:tc>
      </w:tr>
    </w:tbl>
    <w:p/>
    <w:p>
      <w:pPr>
        <w:spacing w:lineRule="auto" w:line="276" w:after="120"/>
      </w:pPr>
      <w:r>
        <w:rPr>
          <w:b/>
          <w:i w:val="0"/>
          <w:sz w:val="22"/>
        </w:rPr>
        <w:t>Overall Result</w:t>
      </w:r>
    </w:p>
    <w:p>
      <w:pPr>
        <w:spacing w:lineRule="auto" w:line="276" w:after="120"/>
      </w:pPr>
      <w:r>
        <w:rPr>
          <w:b w:val="0"/>
          <w:i w:val="0"/>
          <w:sz w:val="22"/>
        </w:rPr>
        <w:t>One or more requirements did not pass. Document score 33.3 (threshold 75, target 80). See eval JSON for details.</w:t>
      </w:r>
    </w:p>
    <w:p>
      <w:pPr>
        <w:spacing w:lineRule="auto" w:line="276" w:after="120"/>
      </w:pPr>
      <w:r>
        <w:rPr>
          <w:b/>
          <w:i w:val="0"/>
          <w:sz w:val="28"/>
        </w:rPr>
        <w:t>NO-GO ✗</w:t>
      </w:r>
    </w:p>
    <w:p>
      <w:pPr>
        <w:spacing w:lineRule="auto" w:line="276" w:after="120"/>
      </w:pPr>
      <w:r>
        <w:rPr>
          <w:b w:val="0"/>
          <w:i w:val="0"/>
          <w:sz w:val="22"/>
        </w:rPr>
        <w:t>Generator requires fixes before verify sign-off</w:t>
      </w:r>
    </w:p>
    <w:p/>
    <w:p>
      <w:pPr>
        <w:pStyle w:val="Heading1"/>
      </w:pPr>
      <w:r>
        <w:t>2. Risk Scorecard</w:t>
      </w:r>
    </w:p>
    <w:p>
      <w:pPr>
        <w:spacing w:lineRule="auto" w:line="276" w:after="120"/>
      </w:pPr>
      <w:r>
        <w:rPr>
          <w:b w:val="0"/>
          <w:i w:val="0"/>
          <w:sz w:val="22"/>
        </w:rPr>
        <w:t>risk_profile_ground_truth.csv has no rows for this study_id: the benchmark specifies **zero** risks. The table lists risks the generator emitted anyway; each is scored as **hallucination / extra** (M1, M4).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Risk Name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Weight</w:t>
            </w:r>
          </w:p>
        </w:tc>
        <w:tc>
          <w:tcPr>
            <w:tcW w:type="dxa" w:w="93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Risk Score</w:t>
            </w:r>
          </w:p>
        </w:tc>
        <w:tc>
          <w:tcPr>
            <w:tcW w:type="dxa" w:w="93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Weighted</w:t>
            </w:r>
          </w:p>
        </w:tc>
        <w:tc>
          <w:tcPr>
            <w:tcW w:type="dxa" w:w="108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RPN ±1</w:t>
            </w:r>
          </w:p>
        </w:tc>
        <w:tc>
          <w:tcPr>
            <w:tcW w:type="dxa" w:w="93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Controls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Management  (Study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Samples incorrectly obtained, analyzed, stored or handled (inclusive of transportation and import/export)  (Vendor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Non-compliance with ICH or local country regulatory requirements  (Vendor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ICH Compliance  (Study Site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Investigator / Staff Conduct  (Study Site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Data / Data Reliability  (Study Site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Protocol Compliance  (Study Site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Informed Consent  (Study Site Risks)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12.5%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N/A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Hallucination / extra</w:t>
            </w:r>
          </w:p>
        </w:tc>
      </w:tr>
    </w:tbl>
    <w:p/>
    <w:p>
      <w:pPr>
        <w:pStyle w:val="Heading2"/>
      </w:pPr>
      <w:r>
        <w:t>Risk Score Bar Chart</w:t>
      </w:r>
    </w:p>
    <w:p>
      <w:r>
        <w:drawing>
          <wp:inline xmlns:a="http://schemas.openxmlformats.org/drawingml/2006/main" xmlns:pic="http://schemas.openxmlformats.org/drawingml/2006/picture">
            <wp:extent cx="5760720" cy="3130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rki2k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3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3. Risk Detail</w:t>
      </w:r>
    </w:p>
    <w:p>
      <w:pPr>
        <w:spacing w:lineRule="auto" w:line="276" w:after="120"/>
      </w:pPr>
      <w:r>
        <w:rPr>
          <w:b w:val="0"/>
          <w:i w:val="0"/>
          <w:sz w:val="22"/>
        </w:rPr>
        <w:t>Benchmark specifies zero risks for this study_id. Each section below is one generated risk with **no** authorized benchmark row (hallucination / extra under M1 and M4).</w:t>
      </w:r>
    </w:p>
    <w:p>
      <w:pPr>
        <w:pStyle w:val="Heading2"/>
      </w:pPr>
      <w:r>
        <w:t>Risk 1 — Concomitant Medication Management [SR-PLACEHOLDER-001]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Concomitant Medication Management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Study Risks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160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4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Concomitant Medication Management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Concomitant Medication Management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160 (Tier 2)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Study Risks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Edit Checks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2 — Samples incorrectly obtained, analyzed, stored or handled (inclusive of transportation and import/export) [VR-PLACEHOLDER-001]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Samples incorrectly obtained, analyzed, stored or handled (inclusive of transportation and import/export)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280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Samples incorrectly obtained, analyzed, stored or handled (inclusive of transportation and import/export)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Samples incorrectly obtained, analyzed, stored or handled (inclusive of transportation and import/export)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280 (Tier 4)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3 — Non-compliance with ICH or local country regulatory requirements [VR-PLACEHOLDER-002]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Non-compliance with ICH or local country regulatory requirements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Non-compliance with ICH or local country regulatory requirements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Non-compliance with ICH or local country regulatory requirements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 (Tier 3)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4 — ICH Compliance [SSR-PLACEHOLDER-001]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ICH Compliance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ICH Compliance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ICH Compliance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 (Tier 3)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5 — Investigator / Staff Conduct [SSR-PLACEHOLDER-002]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Investigator / Staff Conduct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Investigator / Staff Conduct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Investigator / Staff Conduct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 (Tier 3)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6 — Data / Data Reliability [SSR-PLACEHOLDER-003]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Data / Data Reliability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Data / Data Reliability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Data / Data Reliability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 (Tier 3)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7 — Protocol Compliance [SSR-PLACEHOLDER-004]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Protocol Compliance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280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Protocol Compliance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Protocol Compliance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280 (Tier 4)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2"/>
      </w:pPr>
      <w:r>
        <w:t>Risk 8 — Informed Consent [SSR-PLACEHOLDER-005]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Informed Consent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Normalized name match ✓ (not in M1 domain-matched set)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—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280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Informed Consent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Informed Consent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±1 tier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280 (Tier 4)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N/A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—</w:t>
            </w:r>
          </w:p>
        </w:tc>
      </w:tr>
    </w:tbl>
    <w:p/>
    <w:p/>
    <w:p/>
    <w:p>
      <w:pPr>
        <w:pStyle w:val="Heading1"/>
      </w:pPr>
      <w:r>
        <w:t>4. Critical Factors</w:t>
      </w:r>
    </w:p>
    <w:p>
      <w:pPr>
        <w:spacing w:lineRule="auto" w:line="276" w:after="120"/>
      </w:pPr>
      <w:r>
        <w:rPr>
          <w:b w:val="0"/>
          <w:i w:val="0"/>
          <w:sz w:val="22"/>
        </w:rPr>
        <w:t>4 critical factors expected for oncology_phase_ii bucket. 4 name matches; F1=0.8889, P=0.8, R=1.0. Content violations: 3. Extra (not in GT): ['Investigational Product Management'].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Critical Factor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Match</w:t>
            </w:r>
          </w:p>
        </w:tc>
        <w:tc>
          <w:tcPr>
            <w:tcW w:type="dxa" w:w="331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Critical Data</w:t>
            </w:r>
          </w:p>
        </w:tc>
        <w:tc>
          <w:tcPr>
            <w:tcW w:type="dxa" w:w="331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Critical Process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Endpoints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Primary endpoint data including DLTs during Cycle 1; Secondary efficacy data including ORR, DoR, CBR, PFS, and OS per RECIST v1.1; PK data (AUCtau, Cmax) for ARV-471, ARV-473, and ribociclib.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Accurate assessment and recording of DLTs during the observation period; Investigator-assessed tumor response per RECIST v1.1; Strict adherence to PK sampling timepoints for the DDI Assessment Cohorts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Adverse Event (AE) / Serious Adverse Event (SAE)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AE and SAE data characterized by severity (NCI CTCAE v5.0); Triplicate 12-lead ECG data (QTcF intervals); Clinical laboratory abnormalities (hepatic and hematologic).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Timely reporting of AEs/SAEs; Continuous monitoring of ECGs for QT prolongation and laboratory tests for hepatic/hematologic toxicities associated with the ribociclib and ARV-471 combination.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Data Integrity and Reliability of Trial Results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Dosing compliance data; Concomitant medication data (especially CYP3A inhibitors/inducers and QT-prolonging agents); Biomarker and ctDNA sample data.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 xml:space="preserve">Accurate documentation of concomitant medications to ensure DDI cohort validity; Proper collection, processing, and shipment of PK and biomarker samples; Adherence to visit windows for continuous and 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Eligibility criteria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Inclusion/Exclusion criteria data including prior therapy lines (exactly 1 prior CDK4/6 inhibitor), ER+/HER2- status, and baseline hepatic/renal/hematologic function.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Verification of histological diagnosis and prior lines of therapy; Confirmation of washout periods for prior anticancer therapies and prohibited medications (CYP3A inhibitors/inducers) prior to enroll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Investigational Product Management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 ✗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Dosing records for ARV-471 (continuous) and ribociclib (21 days on/7 days off); Dose modification, interruption, and reduction data.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Management of two different dosing schedules; Implementation of protocol-specified dose modifications for hematologic, hepatic, or ECG (QTcF) toxicities; IP accountability and dispensing.</w:t>
            </w:r>
          </w:p>
        </w:tc>
      </w:tr>
    </w:tbl>
    <w:p/>
    <w:p/>
    <w:p>
      <w:pPr>
        <w:pStyle w:val="Heading1"/>
      </w:pPr>
      <w:r>
        <w:t>5. Hallucination Check</w:t>
      </w:r>
    </w:p>
    <w:p>
      <w:pPr>
        <w:spacing w:lineRule="auto" w:line="276" w:after="120"/>
      </w:pPr>
      <w:r>
        <w:rPr>
          <w:b/>
          <w:i w:val="0"/>
          <w:color w:val="C00000"/>
          <w:sz w:val="28"/>
        </w:rPr>
        <w:t>PROVENANCE DEFECTS (field-level checks): 28</w:t>
      </w:r>
    </w:p>
    <w:p>
      <w:pPr>
        <w:spacing w:lineRule="auto" w:line="276" w:after="120"/>
      </w:pPr>
      <w:r>
        <w:rPr>
          <w:b w:val="0"/>
          <w:i w:val="0"/>
          <w:sz w:val="22"/>
        </w:rPr>
        <w:t>Semantic unmatched generated risks (M1; not summed into defect count above): 8. Extra critical factors when benchmark expects zero (M3): 0.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Check</w:t>
            </w:r>
          </w:p>
        </w:tc>
        <w:tc>
          <w:tcPr>
            <w:tcW w:type="dxa" w:w="360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benchmark_source present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usdm_drivers non-empty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associated_cause usdm_trigger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critical_factor usdm critical_data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</w:tr>
    </w:tbl>
    <w:p/>
    <w:p/>
    <w:p>
      <w:pPr>
        <w:pStyle w:val="Heading1"/>
      </w:pPr>
      <w:r>
        <w:t>6. Near Misses</w:t>
      </w:r>
    </w:p>
    <w:p>
      <w:pPr>
        <w:spacing w:lineRule="auto" w:line="276" w:after="120"/>
      </w:pPr>
      <w:r>
        <w:rPr>
          <w:b w:val="0"/>
          <w:i w:val="0"/>
          <w:sz w:val="22"/>
        </w:rPr>
        <w:t>No near misses: the benchmark defines no risk names for this protocol, so name-distance logging is empty. Any generated risk is evaluated as hallucination / extra (M1, M4), not as a near miss.</w:t>
      </w:r>
    </w:p>
    <w:p/>
    <w:p>
      <w:pPr>
        <w:pStyle w:val="Heading1"/>
      </w:pPr>
      <w:r>
        <w:t>7. Vendor / Site / Other Domain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Domain</w:t>
            </w:r>
          </w:p>
        </w:tc>
        <w:tc>
          <w:tcPr>
            <w:tcW w:type="dxa" w:w="172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Generated</w:t>
            </w:r>
          </w:p>
        </w:tc>
        <w:tc>
          <w:tcPr>
            <w:tcW w:type="dxa" w:w="172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Vendor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site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Other domain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lineRule="auto" w:line="276" w:after="120"/>
      </w:pPr>
      <w:r>
        <w:rPr>
          <w:b w:val="0"/>
          <w:i w:val="0"/>
          <w:sz w:val="22"/>
        </w:rPr>
        <w:t>Ground Truth counts are from risk_profile_ground_truth.csv for this study_id only. Vendor / site / other columns show how many benchmark rows fall in each domain when rows exist.</w:t>
      </w:r>
    </w:p>
    <w:p>
      <w:pPr>
        <w:spacing w:lineRule="auto" w:line="276" w:after="120"/>
      </w:pPr>
      <w:r>
        <w:rPr>
          <w:b/>
          <w:i w:val="0"/>
          <w:sz w:val="22"/>
        </w:rPr>
        <w:t>Risk existence: benchmark specifies zero risks for this protocol; generator emitted 8 risk object(s) (non-conformant — hallucination / extra).</w:t>
      </w:r>
    </w:p>
    <w:p/>
    <w:p>
      <w:pPr>
        <w:spacing w:lineRule="auto" w:line="276" w:after="120"/>
        <w:jc w:val="center"/>
      </w:pPr>
      <w:r>
        <w:rPr>
          <w:b w:val="0"/>
          <w:i/>
          <w:sz w:val="18"/>
        </w:rPr>
        <w:t>Confidential | Hexaware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