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after="120"/>
      </w:pPr>
      <w:r>
        <w:rPr>
          <w:b w:val="0"/>
          <w:i w:val="0"/>
          <w:sz w:val="22"/>
        </w:rPr>
        <w:t>Pfizer Protocol Intelligence Platform | D2: Risk Profile Generator | Eval Report | B7981027</w:t>
      </w:r>
    </w:p>
    <w:p/>
    <w:p>
      <w:pPr>
        <w:spacing w:lineRule="auto" w:line="276" w:after="120"/>
        <w:jc w:val="center"/>
      </w:pPr>
      <w:r>
        <w:rPr>
          <w:b/>
          <w:i w:val="0"/>
          <w:sz w:val="32"/>
        </w:rPr>
        <w:t>PFIZER PROTOCOL INTELLIGENCE PLATFORM</w:t>
      </w:r>
    </w:p>
    <w:p>
      <w:pPr>
        <w:spacing w:lineRule="auto" w:line="276" w:after="120"/>
        <w:jc w:val="center"/>
      </w:pPr>
      <w:r>
        <w:rPr>
          <w:b/>
          <w:i w:val="0"/>
          <w:sz w:val="28"/>
        </w:rPr>
        <w:t>Risk Profile Generator — Eval Report</w:t>
      </w:r>
    </w:p>
    <w:p>
      <w:pPr>
        <w:spacing w:lineRule="auto" w:line="276" w:after="120"/>
        <w:jc w:val="center"/>
      </w:pPr>
      <w:r>
        <w:rPr>
          <w:b w:val="0"/>
          <w:i w:val="0"/>
          <w:sz w:val="22"/>
        </w:rPr>
        <w:t>B7981027 — Ritlecitinib (PF-06651600) — PHASE 3 Alopecia areata</w:t>
      </w:r>
    </w:p>
    <w:p>
      <w:pPr>
        <w:spacing w:lineRule="auto" w:line="276" w:after="120"/>
        <w:jc w:val="center"/>
      </w:pPr>
      <w:r>
        <w:rPr>
          <w:b w:val="0"/>
          <w:i w:val="0"/>
          <w:sz w:val="22"/>
        </w:rPr>
        <w:t>Eval date: 2026-04-17 | Generator: v1.0 | Config: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sz w:val="28"/>
              </w:rPr>
              <w:t>DOCUMENT SCORE</w:t>
            </w:r>
          </w:p>
          <w:p>
            <w:pPr>
              <w:spacing w:lineRule="auto" w:line="276" w:after="120"/>
            </w:pPr>
            <w:r>
              <w:rPr>
                <w:b w:val="0"/>
                <w:i w:val="0"/>
                <w:sz w:val="22"/>
              </w:rPr>
              <w:t>Immunology / PHASE III — immunology_phase_iii</w:t>
            </w:r>
          </w:p>
        </w:tc>
        <w:tc>
          <w:tcPr>
            <w:tcW w:type="dxa" w:w="2880"/>
          </w:tcPr>
          <w:p>
            <w:pPr>
              <w:spacing w:lineRule="auto" w:line="276" w:after="120"/>
              <w:jc w:val="center"/>
            </w:pPr>
            <w:r/>
            <w:r>
              <w:rPr>
                <w:b/>
                <w:i w:val="0"/>
                <w:sz w:val="56"/>
              </w:rPr>
              <w:t>66.7</w:t>
              <w:br/>
            </w:r>
          </w:p>
          <w:p>
            <w:pPr>
              <w:spacing w:lineRule="auto" w:line="276" w:after="120"/>
              <w:jc w:val="center"/>
            </w:pPr>
            <w:r>
              <w:rPr>
                <w:b w:val="0"/>
                <w:i w:val="0"/>
                <w:sz w:val="28"/>
              </w:rPr>
              <w:t>/ 100</w:t>
            </w:r>
          </w:p>
        </w:tc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C00000"/>
                <w:sz w:val="28"/>
              </w:rPr>
              <w:t>FAIL ✗</w:t>
            </w:r>
          </w:p>
          <w:p>
            <w:pPr>
              <w:spacing w:lineRule="auto" w:line="276" w:after="120"/>
            </w:pPr>
            <w:r>
              <w:rPr>
                <w:b w:val="0"/>
                <w:i w:val="0"/>
                <w:sz w:val="22"/>
              </w:rPr>
              <w:t>Threshold: 75</w:t>
              <w:br/>
              <w:t>Target: 80</w:t>
            </w:r>
          </w:p>
        </w:tc>
      </w:tr>
    </w:tbl>
    <w:p/>
    <w:p>
      <w:pPr>
        <w:pStyle w:val="Heading1"/>
      </w:pPr>
      <w:r>
        <w:t>1. Summary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Metric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Target</w:t>
            </w:r>
          </w:p>
        </w:tc>
        <w:tc>
          <w:tcPr>
            <w:tcW w:type="dxa" w:w="136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Pass/Fail</w:t>
            </w:r>
          </w:p>
        </w:tc>
        <w:tc>
          <w:tcPr>
            <w:tcW w:type="dxa" w:w="280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M1 Risk name recall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67%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85%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risk_profile_ground_truth.csv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M2 RPN exact match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0%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90%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FAIL ✗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risk_profile_ground_truth.csv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M3 Critical factor match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100%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80%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critical_factors_ground_truth.csv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M4 Provenance defects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 (semantic unmatched risks: 3)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USDM / benchmark provenance rules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Metadata vs risk arrays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consistent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—</w:t>
            </w:r>
          </w:p>
        </w:tc>
        <w:tc>
          <w:tcPr>
            <w:tcW w:type="dxa" w:w="13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  <w:tc>
          <w:tcPr>
            <w:tcW w:type="dxa" w:w="280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Generator JSON metadata block</w:t>
            </w:r>
          </w:p>
        </w:tc>
      </w:tr>
    </w:tbl>
    <w:p/>
    <w:p>
      <w:pPr>
        <w:spacing w:lineRule="auto" w:line="276" w:after="120"/>
      </w:pPr>
      <w:r>
        <w:rPr>
          <w:b/>
          <w:i w:val="0"/>
          <w:sz w:val="22"/>
        </w:rPr>
        <w:t>Overall Result</w:t>
      </w:r>
    </w:p>
    <w:p>
      <w:pPr>
        <w:spacing w:lineRule="auto" w:line="276" w:after="120"/>
      </w:pPr>
      <w:r>
        <w:rPr>
          <w:b w:val="0"/>
          <w:i w:val="0"/>
          <w:sz w:val="22"/>
        </w:rPr>
        <w:t>One or more metrics or metadata checks did not pass. Document score 66.7 (threshold 75, target 80). See JSON for details.</w:t>
      </w:r>
    </w:p>
    <w:p>
      <w:pPr>
        <w:spacing w:lineRule="auto" w:line="276" w:after="120"/>
      </w:pPr>
      <w:r>
        <w:rPr>
          <w:b/>
          <w:i w:val="0"/>
          <w:sz w:val="28"/>
        </w:rPr>
        <w:t>NO-GO ✗</w:t>
      </w:r>
    </w:p>
    <w:p>
      <w:pPr>
        <w:spacing w:lineRule="auto" w:line="276" w:after="120"/>
      </w:pPr>
      <w:r>
        <w:rPr>
          <w:b w:val="0"/>
          <w:i w:val="0"/>
          <w:sz w:val="22"/>
        </w:rPr>
        <w:t>Generator requires fixes before verify sign-off</w:t>
      </w:r>
    </w:p>
    <w:p/>
    <w:p>
      <w:pPr>
        <w:pStyle w:val="Heading1"/>
      </w:pPr>
      <w:r>
        <w:t>2. Risk Scorecard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Risk Name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Weight</w:t>
            </w:r>
          </w:p>
        </w:tc>
        <w:tc>
          <w:tcPr>
            <w:tcW w:type="dxa" w:w="93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Risk Score</w:t>
            </w:r>
          </w:p>
        </w:tc>
        <w:tc>
          <w:tcPr>
            <w:tcW w:type="dxa" w:w="93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Weighted</w:t>
            </w:r>
          </w:p>
        </w:tc>
        <w:tc>
          <w:tcPr>
            <w:tcW w:type="dxa" w:w="108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RPN exact</w:t>
            </w:r>
          </w:p>
        </w:tc>
        <w:tc>
          <w:tcPr>
            <w:tcW w:type="dxa" w:w="93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Controls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Participant / Caregiver Trial Conduct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33.3%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55.0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18.33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No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Needs Work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Concomitant Medication Management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33.3%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55.0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18.33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No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Needs Work</w:t>
            </w:r>
          </w:p>
        </w:tc>
      </w:tr>
      <w:tr>
        <w:tc>
          <w:tcPr>
            <w:tcW w:type="dxa" w:w="28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Enrollment Criteria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33.3%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0.00</w:t>
            </w:r>
          </w:p>
        </w:tc>
        <w:tc>
          <w:tcPr>
            <w:tcW w:type="dxa" w:w="108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No</w:t>
            </w:r>
          </w:p>
        </w:tc>
        <w:tc>
          <w:tcPr>
            <w:tcW w:type="dxa" w:w="93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Needs Work</w:t>
            </w:r>
          </w:p>
        </w:tc>
      </w:tr>
    </w:tbl>
    <w:p/>
    <w:p>
      <w:pPr>
        <w:pStyle w:val="Heading2"/>
      </w:pPr>
      <w:r>
        <w:t>Risk Score Bar Chart</w:t>
      </w:r>
    </w:p>
    <w:p>
      <w:r>
        <w:drawing>
          <wp:inline xmlns:a="http://schemas.openxmlformats.org/drawingml/2006/main" xmlns:pic="http://schemas.openxmlformats.org/drawingml/2006/picture">
            <wp:extent cx="5760720" cy="2301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z77akp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16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>3. Risk Detail</w:t>
      </w:r>
    </w:p>
    <w:p>
      <w:pPr>
        <w:pStyle w:val="Heading2"/>
      </w:pPr>
      <w:r>
        <w:t>Risk 1 — Participant / Caregiver Trial Conduct [SR-PLACEHOLDER-001]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Participant / Caregiver Trial Conduct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Verbatim ✓ | Levenshtein: 0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SR-02224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Study Risks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196 = 160 ✗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7 = 10 ✗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7 = 4 ✗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4 = 4 ✓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Participant / Caregiver Trial Conduct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Participant / Caregiver Trial Conduct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Exact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 (Tier 3)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160 (Tier 2)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exact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Study Risks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Study Risks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Routine Review and Remediation of metrics for loss to follow up (QTL/KRI)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Quality Tolerance Limit (QTL)</w:t>
            </w:r>
          </w:p>
        </w:tc>
      </w:tr>
    </w:tbl>
    <w:p/>
    <w:p>
      <w:pPr>
        <w:pStyle w:val="Heading3"/>
      </w:pPr>
      <w:r>
        <w:t>Intelligence &amp; drivers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Item</w:t>
            </w:r>
          </w:p>
        </w:tc>
        <w:tc>
          <w:tcPr>
            <w:tcW w:type="dxa" w:w="61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Generated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Benchmark occurrence rate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100%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Benchmark source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2/2 studies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RPN confidence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LOW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USDM traceability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FULL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USDM drivers (count)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2</w:t>
            </w:r>
          </w:p>
        </w:tc>
      </w:tr>
    </w:tbl>
    <w:p/>
    <w:p/>
    <w:p>
      <w:pPr>
        <w:pStyle w:val="Heading2"/>
      </w:pPr>
      <w:r>
        <w:t>Risk 2 — Concomitant Medication Management [SR-PLACEHOLDER-005]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Concomitant Medication Management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Verbatim ✓ | Levenshtein: 0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SR-02216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Study Risks</w:t>
            </w:r>
          </w:p>
        </w:tc>
      </w:tr>
    </w:tbl>
    <w:p/>
    <w:p>
      <w:pPr>
        <w:pStyle w:val="Heading3"/>
      </w:pPr>
      <w:r>
        <w:t>RPN components (generated vs ground truth)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Active RPN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Impact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Likelihood</w:t>
            </w:r>
          </w:p>
        </w:tc>
        <w:tc>
          <w:tcPr>
            <w:tcW w:type="dxa" w:w="18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Detectability</w:t>
            </w:r>
          </w:p>
        </w:tc>
      </w:tr>
      <w:tr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196 = 112 ✗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7 = 7 ✓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7 = 4 ✗</w:t>
            </w:r>
          </w:p>
        </w:tc>
        <w:tc>
          <w:tcPr>
            <w:tcW w:type="dxa" w:w="2160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4 = 4 ✓</w:t>
            </w:r>
          </w:p>
        </w:tc>
      </w:tr>
    </w:tbl>
    <w:p/>
    <w:p/>
    <w:p>
      <w:pPr>
        <w:pStyle w:val="Heading3"/>
      </w:pPr>
      <w:r>
        <w:t>Attribute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Score</w:t>
            </w:r>
          </w:p>
        </w:tc>
        <w:tc>
          <w:tcPr>
            <w:tcW w:type="dxa" w:w="1224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Match Type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Generated</w:t>
            </w:r>
          </w:p>
        </w:tc>
        <w:tc>
          <w:tcPr>
            <w:tcW w:type="dxa" w:w="252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name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verbatim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Concomitant Medication Management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Concomitant Medication Management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RPN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Exact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196 (Tier 3)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112 (Tier 1)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Risk domain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006600"/>
                <w:sz w:val="22"/>
              </w:rPr>
              <w:t>1.00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exact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Study Risks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Study Risks</w:t>
            </w:r>
          </w:p>
        </w:tc>
      </w:tr>
      <w:tr>
        <w:tc>
          <w:tcPr>
            <w:tcW w:type="dxa" w:w="1656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Primary control type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0.00</w:t>
            </w:r>
          </w:p>
        </w:tc>
        <w:tc>
          <w:tcPr>
            <w:tcW w:type="dxa" w:w="1224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miss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Edit Checks</w:t>
            </w:r>
          </w:p>
        </w:tc>
        <w:tc>
          <w:tcPr>
            <w:tcW w:type="dxa" w:w="25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Quality Tolerance Limit (QTL)</w:t>
            </w:r>
          </w:p>
        </w:tc>
      </w:tr>
    </w:tbl>
    <w:p/>
    <w:p>
      <w:pPr>
        <w:pStyle w:val="Heading3"/>
      </w:pPr>
      <w:r>
        <w:t>Intelligence &amp; drivers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Item</w:t>
            </w:r>
          </w:p>
        </w:tc>
        <w:tc>
          <w:tcPr>
            <w:tcW w:type="dxa" w:w="61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Generated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Benchmark occurrence rate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50%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Benchmark source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1/2 studies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RPN confidence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LOW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USDM traceability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FULL</w:t>
            </w:r>
          </w:p>
        </w:tc>
      </w:tr>
      <w:tr>
        <w:tc>
          <w:tcPr>
            <w:tcW w:type="dxa" w:w="316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USDM drivers (count)</w:t>
            </w:r>
          </w:p>
        </w:tc>
        <w:tc>
          <w:tcPr>
            <w:tcW w:type="dxa" w:w="61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1</w:t>
            </w:r>
          </w:p>
        </w:tc>
      </w:tr>
    </w:tbl>
    <w:p/>
    <w:p/>
    <w:p>
      <w:pPr>
        <w:pStyle w:val="Heading2"/>
      </w:pPr>
      <w:r>
        <w:t>Risk 3 — Enrollment Criteria [SR-02218]</w:t>
      </w:r>
    </w:p>
    <w:p>
      <w:pPr>
        <w:pStyle w:val="Heading3"/>
      </w:pPr>
      <w:r>
        <w:t>Risk match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8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727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Name Match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— MISS — not generated for this ground-truth row.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Match Status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color w:val="C00000"/>
                <w:sz w:val="22"/>
              </w:rPr>
              <w:t>Not generated (see M1 misses).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Ground Truth ID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SR-02218</w:t>
            </w:r>
          </w:p>
        </w:tc>
      </w:tr>
      <w:tr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/>
                <w:sz w:val="22"/>
              </w:rPr>
              <w:t>Risk domain (GT)</w:t>
            </w:r>
          </w:p>
        </w:tc>
        <w:tc>
          <w:tcPr>
            <w:tcW w:type="dxa" w:w="4320"/>
          </w:tcPr>
          <w:p>
            <w:pPr>
              <w:spacing w:lineRule="auto" w:line="276" w:after="120"/>
            </w:pPr>
            <w:r/>
            <w:r>
              <w:rPr>
                <w:b w:val="0"/>
                <w:sz w:val="22"/>
              </w:rPr>
              <w:t>Study Risks</w:t>
            </w:r>
          </w:p>
        </w:tc>
      </w:tr>
    </w:tbl>
    <w:p/>
    <w:p/>
    <w:p/>
    <w:p>
      <w:pPr>
        <w:pStyle w:val="Heading1"/>
      </w:pPr>
      <w:r>
        <w:t>4. Critical Factors</w:t>
      </w:r>
    </w:p>
    <w:p>
      <w:pPr>
        <w:spacing w:lineRule="auto" w:line="276" w:after="120"/>
      </w:pPr>
      <w:r>
        <w:rPr>
          <w:b w:val="0"/>
          <w:i w:val="0"/>
          <w:sz w:val="22"/>
        </w:rPr>
        <w:t>5 critical factors expected for immunology_phase_iii bucket. 5 name matches; F1=1.0, P=1.0, R=1.0.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Critical Factor</w:t>
            </w:r>
          </w:p>
        </w:tc>
        <w:tc>
          <w:tcPr>
            <w:tcW w:type="dxa" w:w="7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Match</w:t>
            </w:r>
          </w:p>
        </w:tc>
        <w:tc>
          <w:tcPr>
            <w:tcW w:type="dxa" w:w="331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Critical Data</w:t>
            </w:r>
          </w:p>
        </w:tc>
        <w:tc>
          <w:tcPr>
            <w:tcW w:type="dxa" w:w="331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Critical Process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Endpoints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SALT response data; PGI-C data; PK plasma concentration data (dates and times); eCOA/ePRO secondary endpoint data (ELA, EBA, AAPPO, PROMIS Parent Proxy, BRIEF2, modified CDLQI, acceptability &amp; palatab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Consistent rater training/certification/qualification and assessments for SALT, EBA, ELA, including proper Rater ID assignment/entry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Adverse Event (AE) / Serious Adverse Event (SAE)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AE/SAE data, death details, and vital signs and clinical lab values; Audiological and neurological AE assessment data; Medical history including menarchal status &amp; history of AA treatment clinical res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Identification and assessment of potential audiologic and neurologic events; Routine contraception checks (if applicable), including regular review of menarchal status, contraception compliance, parti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Data Integrity and Reliability of Trial Results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Concomitant medication (prior or prohibited); Discontinuation data; Primary diagnosis - severe alopecia areata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Retaining the blind (double-blind design); eCOA/ePRO (SALT, ELA, EBA, AAPPO, PROMIS, BRIEF2, CDLQI) including device setup, data collection compliance &amp; data transmission; Handling, collection, shipme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Eligibility criteria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Inclusion/exclusion criteria data (SALT score &gt;= 50, age 6 to &lt;12 years, history of AA treatment failure, TB/viral infection history)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Accurate compliance to protocol inclusion/exclusion criteria; Confirmation of a history of AA treatment clinical response failure; Verification of negative TB and viral hepatitis status.</w:t>
            </w:r>
          </w:p>
        </w:tc>
      </w:tr>
      <w:tr>
        <w:tc>
          <w:tcPr>
            <w:tcW w:type="dxa" w:w="2016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Investigational Product Management</w:t>
            </w:r>
          </w:p>
        </w:tc>
        <w:tc>
          <w:tcPr>
            <w:tcW w:type="dxa" w:w="7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Yes ✓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Dosing data (Ritlecitinib 50 mg, 30 mg, Placebo capsules)</w:t>
            </w:r>
          </w:p>
        </w:tc>
        <w:tc>
          <w:tcPr>
            <w:tcW w:type="dxa" w:w="331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IP management - Assigned IP kit numbers match between source documents and IRT; Participant/caregiver dosing diary compliance.</w:t>
            </w:r>
          </w:p>
        </w:tc>
      </w:tr>
    </w:tbl>
    <w:p/>
    <w:p/>
    <w:p>
      <w:pPr>
        <w:pStyle w:val="Heading1"/>
      </w:pPr>
      <w:r>
        <w:t>5. Hallucination Check</w:t>
      </w:r>
    </w:p>
    <w:p>
      <w:pPr>
        <w:spacing w:lineRule="auto" w:line="276" w:after="120"/>
      </w:pPr>
      <w:r>
        <w:rPr>
          <w:b/>
          <w:i w:val="0"/>
          <w:sz w:val="28"/>
        </w:rPr>
        <w:t>ZERO PROVENANCE DEFECTS (M4) ✓</w:t>
      </w:r>
    </w:p>
    <w:p>
      <w:pPr>
        <w:spacing w:lineRule="auto" w:line="276" w:after="120"/>
      </w:pPr>
      <w:r>
        <w:rPr>
          <w:b w:val="0"/>
          <w:i w:val="0"/>
          <w:sz w:val="22"/>
        </w:rPr>
        <w:t>Semantic unmatched generated risks (counted in M1, not summed here): 3.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Check</w:t>
            </w:r>
          </w:p>
        </w:tc>
        <w:tc>
          <w:tcPr>
            <w:tcW w:type="dxa" w:w="3600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benchmark_source present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usdm_drivers non-empty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associated_cause usdm_trigger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</w:tr>
      <w:tr>
        <w:tc>
          <w:tcPr>
            <w:tcW w:type="dxa" w:w="504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critical_factor usdm critical_data</w:t>
            </w:r>
          </w:p>
        </w:tc>
        <w:tc>
          <w:tcPr>
            <w:tcW w:type="dxa" w:w="3600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PASS ✓</w:t>
            </w:r>
          </w:p>
        </w:tc>
      </w:tr>
    </w:tbl>
    <w:p/>
    <w:p/>
    <w:p>
      <w:pPr>
        <w:pStyle w:val="Heading1"/>
      </w:pPr>
      <w:r>
        <w:t>6. Near Misses</w:t>
      </w:r>
    </w:p>
    <w:p>
      <w:pPr>
        <w:spacing w:lineRule="auto" w:line="276" w:after="120"/>
      </w:pPr>
      <w:r>
        <w:rPr>
          <w:b w:val="0"/>
          <w:i w:val="0"/>
          <w:sz w:val="22"/>
        </w:rPr>
        <w:t>No near misses found. All 3 ground-truth risk names were either matched (after name normalisation) or missed outright (Levenshtein logging empty).</w:t>
      </w:r>
    </w:p>
    <w:p/>
    <w:p>
      <w:pPr>
        <w:pStyle w:val="Heading1"/>
      </w:pPr>
      <w:r>
        <w:t>7. Vendor / Site / Other Domain Risks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Domain</w:t>
            </w:r>
          </w:p>
        </w:tc>
        <w:tc>
          <w:tcPr>
            <w:tcW w:type="dxa" w:w="172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Generated</w:t>
            </w:r>
          </w:p>
        </w:tc>
        <w:tc>
          <w:tcPr>
            <w:tcW w:type="dxa" w:w="1728"/>
            <w:shd w:fill="4472C4"/>
          </w:tcPr>
          <w:p>
            <w:pPr>
              <w:spacing w:lineRule="auto" w:line="276" w:after="120"/>
            </w:pPr>
            <w:r/>
            <w:r>
              <w:rPr>
                <w:b/>
                <w:i w:val="0"/>
                <w:color w:val="FFFFFF"/>
                <w:sz w:val="22"/>
              </w:rPr>
              <w:t>Ground Truth</w:t>
            </w:r>
          </w:p>
        </w:tc>
      </w:tr>
      <w:tr>
        <w:tc>
          <w:tcPr>
            <w:tcW w:type="dxa" w:w="25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Vendor risks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25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Study site risks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2592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Other domain risks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  <w:tc>
          <w:tcPr>
            <w:tcW w:type="dxa" w:w="1728"/>
          </w:tcPr>
          <w:p>
            <w:pPr>
              <w:spacing w:lineRule="auto" w:line="276" w:after="120"/>
            </w:pPr>
            <w:r/>
            <w:r>
              <w:rPr>
                <w:b w:val="0"/>
                <w:i w:val="0"/>
                <w:sz w:val="22"/>
              </w:rPr>
              <w:t>0</w:t>
            </w:r>
          </w:p>
        </w:tc>
      </w:tr>
    </w:tbl>
    <w:p/>
    <w:p>
      <w:pPr>
        <w:spacing w:lineRule="auto" w:line="276" w:after="120"/>
      </w:pPr>
      <w:r>
        <w:rPr>
          <w:b w:val="0"/>
          <w:i w:val="0"/>
          <w:sz w:val="22"/>
        </w:rPr>
        <w:t>If generated counts are zero for all three domains, this matches typical B7981027 ground truth (study risks only). Confirm against protocol-specific GT when available.</w:t>
      </w:r>
    </w:p>
    <w:p/>
    <w:p>
      <w:pPr>
        <w:spacing w:lineRule="auto" w:line="276" w:after="120"/>
        <w:jc w:val="center"/>
      </w:pPr>
      <w:r>
        <w:rPr>
          <w:b w:val="0"/>
          <w:i/>
          <w:sz w:val="18"/>
        </w:rPr>
        <w:t>Confidential | Hexaware Technologies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