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after="120"/>
      </w:pPr>
      <w:r>
        <w:rPr>
          <w:b w:val="0"/>
          <w:i w:val="0"/>
          <w:sz w:val="22"/>
        </w:rPr>
        <w:t>Pfizer Protocol Intelligence Platform | D2: Risk Profile Generator | Eval Report | B7981027</w:t>
      </w:r>
    </w:p>
    <w:p/>
    <w:p>
      <w:pPr>
        <w:spacing w:lineRule="auto" w:line="276" w:after="120"/>
        <w:jc w:val="center"/>
      </w:pPr>
      <w:r>
        <w:rPr>
          <w:b/>
          <w:i w:val="0"/>
          <w:sz w:val="32"/>
        </w:rPr>
        <w:t>PFIZER PROTOCOL INTELLIGENCE PLATFORM</w:t>
      </w:r>
    </w:p>
    <w:p>
      <w:pPr>
        <w:spacing w:lineRule="auto" w:line="276" w:after="120"/>
        <w:jc w:val="center"/>
      </w:pPr>
      <w:r>
        <w:rPr>
          <w:b/>
          <w:i w:val="0"/>
          <w:sz w:val="28"/>
        </w:rPr>
        <w:t>Risk Profile Generator — Eval Report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B7981027 — Ritlecitinib (PF-06651600) — PHASE 3 Alopecia areata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Eval date: 2026-04-15 | Generator: v1.0 | Config: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8"/>
              </w:rPr>
              <w:t>DOCUMENT SCORE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Immunology / PHASE III — immunology_phase_iii</w:t>
            </w:r>
          </w:p>
        </w:tc>
        <w:tc>
          <w:tcPr>
            <w:tcW w:type="dxa" w:w="2880"/>
          </w:tcPr>
          <w:p>
            <w:pPr>
              <w:spacing w:lineRule="auto" w:line="276" w:after="120"/>
              <w:jc w:val="center"/>
            </w:pPr>
            <w:r/>
            <w:r>
              <w:rPr>
                <w:b/>
                <w:i w:val="0"/>
                <w:sz w:val="56"/>
              </w:rPr>
              <w:t>79.2</w:t>
              <w:br/>
            </w:r>
          </w:p>
          <w:p>
            <w:pPr>
              <w:spacing w:lineRule="auto" w:line="276" w:after="120"/>
              <w:jc w:val="center"/>
            </w:pPr>
            <w:r>
              <w:rPr>
                <w:b w:val="0"/>
                <w:i w:val="0"/>
                <w:sz w:val="28"/>
              </w:rPr>
              <w:t>/ 100</w:t>
            </w:r>
          </w:p>
        </w:tc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006600"/>
                <w:sz w:val="28"/>
              </w:rPr>
              <w:t>PASS ✓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Threshold: 75</w:t>
              <w:br/>
              <w:t>Target: 80</w:t>
            </w:r>
          </w:p>
        </w:tc>
      </w:tr>
    </w:tbl>
    <w:p/>
    <w:p>
      <w:pPr>
        <w:pStyle w:val="Heading1"/>
      </w:pPr>
      <w: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Metric</w:t>
            </w:r>
          </w:p>
        </w:tc>
        <w:tc>
          <w:tcPr>
            <w:tcW w:type="dxa" w:w="122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Score</w:t>
            </w:r>
          </w:p>
        </w:tc>
        <w:tc>
          <w:tcPr>
            <w:tcW w:type="dxa" w:w="122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Target</w:t>
            </w:r>
          </w:p>
        </w:tc>
        <w:tc>
          <w:tcPr>
            <w:tcW w:type="dxa" w:w="1368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Pass/Fail</w:t>
            </w:r>
          </w:p>
        </w:tc>
        <w:tc>
          <w:tcPr>
            <w:tcW w:type="dxa" w:w="2808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M1 Risk name recall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67%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85%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M2 RPN tier accuracy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90%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M3 Critical factor match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critical_factors_ground_truth.csv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M4 Hallucination detection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/ benchmark provenance rules</w:t>
            </w:r>
          </w:p>
        </w:tc>
      </w:tr>
    </w:tbl>
    <w:p/>
    <w:p>
      <w:pPr>
        <w:spacing w:lineRule="auto" w:line="276" w:after="120"/>
      </w:pPr>
      <w:r>
        <w:rPr>
          <w:b/>
          <w:i w:val="0"/>
          <w:sz w:val="22"/>
        </w:rPr>
        <w:t>Overall Result</w:t>
      </w:r>
    </w:p>
    <w:p>
      <w:pPr>
        <w:spacing w:lineRule="auto" w:line="276" w:after="120"/>
      </w:pPr>
      <w:r>
        <w:rPr>
          <w:b w:val="0"/>
          <w:i w:val="0"/>
          <w:sz w:val="22"/>
        </w:rPr>
        <w:t>One or more metrics did not pass. Document score 79.2 (threshold 75, target 80). See JSON for details.</w:t>
      </w:r>
    </w:p>
    <w:p>
      <w:pPr>
        <w:spacing w:lineRule="auto" w:line="276" w:after="120"/>
      </w:pPr>
      <w:r>
        <w:rPr>
          <w:b/>
          <w:i w:val="0"/>
          <w:sz w:val="28"/>
        </w:rPr>
        <w:t>NO-GO ✗</w:t>
      </w:r>
    </w:p>
    <w:p>
      <w:pPr>
        <w:spacing w:lineRule="auto" w:line="276" w:after="120"/>
      </w:pPr>
      <w:r>
        <w:rPr>
          <w:b w:val="0"/>
          <w:i w:val="0"/>
          <w:sz w:val="22"/>
        </w:rPr>
        <w:t>Generator requires fixes before verify sign-off</w:t>
      </w:r>
    </w:p>
    <w:p/>
    <w:p>
      <w:pPr>
        <w:pStyle w:val="Heading1"/>
      </w:pPr>
      <w:r>
        <w:t>2. Risk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Risk Name</w:t>
            </w:r>
          </w:p>
        </w:tc>
        <w:tc>
          <w:tcPr>
            <w:tcW w:type="dxa" w:w="79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Weight</w:t>
            </w:r>
          </w:p>
        </w:tc>
        <w:tc>
          <w:tcPr>
            <w:tcW w:type="dxa" w:w="93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Risk Score</w:t>
            </w:r>
          </w:p>
        </w:tc>
        <w:tc>
          <w:tcPr>
            <w:tcW w:type="dxa" w:w="93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Weighted</w:t>
            </w:r>
          </w:p>
        </w:tc>
        <w:tc>
          <w:tcPr>
            <w:tcW w:type="dxa" w:w="108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RPN Match</w:t>
            </w:r>
          </w:p>
        </w:tc>
        <w:tc>
          <w:tcPr>
            <w:tcW w:type="dxa" w:w="93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Controls</w:t>
            </w:r>
          </w:p>
        </w:tc>
        <w:tc>
          <w:tcPr>
            <w:tcW w:type="dxa" w:w="122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Participant / Caregiver Trial Conduct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88.0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29.33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Management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55.0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18.33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Needs Work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Enrollment Criteria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Needs Work</w:t>
            </w:r>
          </w:p>
        </w:tc>
      </w:tr>
    </w:tbl>
    <w:p/>
    <w:p>
      <w:pPr>
        <w:pStyle w:val="Heading2"/>
      </w:pPr>
      <w:r>
        <w:t>Risk Score Bar Chart</w:t>
      </w:r>
    </w:p>
    <w:p>
      <w:r>
        <w:drawing>
          <wp:inline xmlns:a="http://schemas.openxmlformats.org/drawingml/2006/main" xmlns:pic="http://schemas.openxmlformats.org/drawingml/2006/picture">
            <wp:extent cx="5760720" cy="2301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5ab3xq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6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3. Risk Detail</w:t>
      </w:r>
    </w:p>
    <w:p>
      <w:pPr>
        <w:pStyle w:val="Heading2"/>
      </w:pPr>
      <w:r>
        <w:t>Risk 1 — Participant / Caregiver Trial Conduct [SR-PLACEHOLDER-001]</w:t>
      </w:r>
    </w:p>
    <w:p>
      <w:pPr>
        <w:spacing w:lineRule="auto" w:line="276" w:after="120"/>
      </w:pPr>
      <w:r>
        <w:rPr>
          <w:b/>
          <w:i w:val="0"/>
          <w:sz w:val="22"/>
        </w:rPr>
        <w:t>Risk Name Match</w:t>
      </w:r>
    </w:p>
    <w:p>
      <w:pPr>
        <w:spacing w:lineRule="auto" w:line="276" w:after="120"/>
      </w:pPr>
      <w:r>
        <w:rPr>
          <w:b w:val="0"/>
          <w:i w:val="0"/>
          <w:sz w:val="22"/>
        </w:rPr>
        <w:t>Participant / Caregiver Trial Conduct</w:t>
      </w:r>
    </w:p>
    <w:p>
      <w:pPr>
        <w:spacing w:lineRule="auto" w:line="276" w:after="120"/>
      </w:pPr>
      <w:r>
        <w:rPr>
          <w:b/>
          <w:i w:val="0"/>
          <w:sz w:val="22"/>
        </w:rPr>
        <w:t>Match Status</w:t>
      </w:r>
    </w:p>
    <w:p>
      <w:pPr>
        <w:spacing w:lineRule="auto" w:line="276" w:after="120"/>
      </w:pPr>
      <w:r>
        <w:rPr>
          <w:b w:val="0"/>
          <w:i w:val="0"/>
          <w:sz w:val="22"/>
        </w:rPr>
        <w:t>Verbatim ✓ | Levenshtein: 0</w:t>
      </w:r>
    </w:p>
    <w:p>
      <w:pPr>
        <w:spacing w:lineRule="auto" w:line="276" w:after="120"/>
      </w:pPr>
      <w:r>
        <w:rPr>
          <w:b/>
          <w:i w:val="0"/>
          <w:sz w:val="22"/>
        </w:rPr>
        <w:t>Ground Truth ID</w:t>
      </w:r>
    </w:p>
    <w:p>
      <w:pPr>
        <w:spacing w:lineRule="auto" w:line="276" w:after="120"/>
      </w:pPr>
      <w:r>
        <w:rPr>
          <w:b w:val="0"/>
          <w:i w:val="0"/>
          <w:sz w:val="22"/>
        </w:rPr>
        <w:t>SR-02224</w:t>
      </w:r>
    </w:p>
    <w:p>
      <w:pPr>
        <w:spacing w:lineRule="auto" w:line="276" w:after="120"/>
      </w:pPr>
      <w:r>
        <w:rPr>
          <w:b/>
          <w:i w:val="0"/>
          <w:sz w:val="22"/>
        </w:rPr>
        <w:t>Risk Domain</w:t>
      </w:r>
    </w:p>
    <w:p>
      <w:pPr>
        <w:spacing w:lineRule="auto" w:line="276" w:after="120"/>
      </w:pPr>
      <w:r>
        <w:rPr>
          <w:b w:val="0"/>
          <w:i w:val="0"/>
          <w:sz w:val="22"/>
        </w:rPr>
        <w:t>Study Risks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Active RPN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Impact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Likelihood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Detectability</w:t>
            </w:r>
          </w:p>
        </w:tc>
      </w:tr>
      <w:tr>
        <w:tc>
          <w:tcPr>
            <w:tcW w:type="dxa" w:w="230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196 = 160 ✗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7 = 10 ✗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7 = 4 ✗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4 = 4 ✓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Attribute</w:t>
            </w:r>
          </w:p>
        </w:tc>
        <w:tc>
          <w:tcPr>
            <w:tcW w:type="dxa" w:w="79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Score</w:t>
            </w:r>
          </w:p>
        </w:tc>
        <w:tc>
          <w:tcPr>
            <w:tcW w:type="dxa" w:w="122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Match Type</w:t>
            </w:r>
          </w:p>
        </w:tc>
        <w:tc>
          <w:tcPr>
            <w:tcW w:type="dxa" w:w="252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Generated</w:t>
            </w:r>
          </w:p>
        </w:tc>
        <w:tc>
          <w:tcPr>
            <w:tcW w:type="dxa" w:w="252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Participant / Caregiver Trial Conduct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Participant / Caregiver Trial Conduct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196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160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Risks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Risks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Routine Review and Remediation of metrics for loss to follow up (QTL/KRI)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Quality Tolerance Limit (QTL)</w:t>
            </w:r>
          </w:p>
        </w:tc>
      </w:tr>
    </w:tbl>
    <w:p/>
    <w:p/>
    <w:p>
      <w:pPr>
        <w:spacing w:lineRule="auto" w:line="276" w:after="120"/>
      </w:pPr>
      <w:r>
        <w:rPr>
          <w:b/>
          <w:i w:val="0"/>
          <w:sz w:val="22"/>
        </w:rPr>
        <w:t>Intelligence block</w:t>
      </w:r>
    </w:p>
    <w:p>
      <w:pPr>
        <w:spacing w:lineRule="auto" w:line="276" w:after="120"/>
      </w:pPr>
      <w:r>
        <w:rPr>
          <w:b w:val="0"/>
          <w:i w:val="0"/>
          <w:sz w:val="22"/>
        </w:rPr>
        <w:t>Benchmark occurrence rate: 100% | Source: 2/2 studies</w:t>
        <w:br/>
        <w:br/>
        <w:t>RPN confidence: LOW | USDM traceability: FULL</w:t>
      </w:r>
    </w:p>
    <w:p/>
    <w:p>
      <w:pPr>
        <w:pStyle w:val="Heading2"/>
      </w:pPr>
      <w:r>
        <w:t>Risk 2 — Concomitant Medication Management [SR-PLACEHOLDER-005]</w:t>
      </w:r>
    </w:p>
    <w:p>
      <w:pPr>
        <w:spacing w:lineRule="auto" w:line="276" w:after="120"/>
      </w:pPr>
      <w:r>
        <w:rPr>
          <w:b/>
          <w:i w:val="0"/>
          <w:sz w:val="22"/>
        </w:rPr>
        <w:t>Risk Name Match</w:t>
      </w:r>
    </w:p>
    <w:p>
      <w:pPr>
        <w:spacing w:lineRule="auto" w:line="276" w:after="120"/>
      </w:pPr>
      <w:r>
        <w:rPr>
          <w:b w:val="0"/>
          <w:i w:val="0"/>
          <w:sz w:val="22"/>
        </w:rPr>
        <w:t>Concomitant Medication Management</w:t>
      </w:r>
    </w:p>
    <w:p>
      <w:pPr>
        <w:spacing w:lineRule="auto" w:line="276" w:after="120"/>
      </w:pPr>
      <w:r>
        <w:rPr>
          <w:b/>
          <w:i w:val="0"/>
          <w:sz w:val="22"/>
        </w:rPr>
        <w:t>Match Status</w:t>
      </w:r>
    </w:p>
    <w:p>
      <w:pPr>
        <w:spacing w:lineRule="auto" w:line="276" w:after="120"/>
      </w:pPr>
      <w:r>
        <w:rPr>
          <w:b w:val="0"/>
          <w:i w:val="0"/>
          <w:sz w:val="22"/>
        </w:rPr>
        <w:t>Verbatim ✓ | Levenshtein: 0</w:t>
      </w:r>
    </w:p>
    <w:p>
      <w:pPr>
        <w:spacing w:lineRule="auto" w:line="276" w:after="120"/>
      </w:pPr>
      <w:r>
        <w:rPr>
          <w:b/>
          <w:i w:val="0"/>
          <w:sz w:val="22"/>
        </w:rPr>
        <w:t>Ground Truth ID</w:t>
      </w:r>
    </w:p>
    <w:p>
      <w:pPr>
        <w:spacing w:lineRule="auto" w:line="276" w:after="120"/>
      </w:pPr>
      <w:r>
        <w:rPr>
          <w:b w:val="0"/>
          <w:i w:val="0"/>
          <w:sz w:val="22"/>
        </w:rPr>
        <w:t>SR-02216</w:t>
      </w:r>
    </w:p>
    <w:p>
      <w:pPr>
        <w:spacing w:lineRule="auto" w:line="276" w:after="120"/>
      </w:pPr>
      <w:r>
        <w:rPr>
          <w:b/>
          <w:i w:val="0"/>
          <w:sz w:val="22"/>
        </w:rPr>
        <w:t>Risk Domain</w:t>
      </w:r>
    </w:p>
    <w:p>
      <w:pPr>
        <w:spacing w:lineRule="auto" w:line="276" w:after="120"/>
      </w:pPr>
      <w:r>
        <w:rPr>
          <w:b w:val="0"/>
          <w:i w:val="0"/>
          <w:sz w:val="22"/>
        </w:rPr>
        <w:t>Study Risks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Active RPN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Impact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Likelihood</w:t>
            </w:r>
          </w:p>
        </w:tc>
        <w:tc>
          <w:tcPr>
            <w:tcW w:type="dxa" w:w="187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Detectability</w:t>
            </w:r>
          </w:p>
        </w:tc>
      </w:tr>
      <w:tr>
        <w:tc>
          <w:tcPr>
            <w:tcW w:type="dxa" w:w="230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196 = 112 ✗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7 = 7 ✓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7 = 4 ✗</w:t>
            </w:r>
          </w:p>
        </w:tc>
        <w:tc>
          <w:tcPr>
            <w:tcW w:type="dxa" w:w="187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4 = 4 ✓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Attribute</w:t>
            </w:r>
          </w:p>
        </w:tc>
        <w:tc>
          <w:tcPr>
            <w:tcW w:type="dxa" w:w="79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Score</w:t>
            </w:r>
          </w:p>
        </w:tc>
        <w:tc>
          <w:tcPr>
            <w:tcW w:type="dxa" w:w="1224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Match Type</w:t>
            </w:r>
          </w:p>
        </w:tc>
        <w:tc>
          <w:tcPr>
            <w:tcW w:type="dxa" w:w="252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Generated</w:t>
            </w:r>
          </w:p>
        </w:tc>
        <w:tc>
          <w:tcPr>
            <w:tcW w:type="dxa" w:w="252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Management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Management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196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112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Risks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Risks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Edit Checks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Quality Tolerance Limit (QTL)</w:t>
            </w:r>
          </w:p>
        </w:tc>
      </w:tr>
    </w:tbl>
    <w:p/>
    <w:p/>
    <w:p>
      <w:pPr>
        <w:spacing w:lineRule="auto" w:line="276" w:after="120"/>
      </w:pPr>
      <w:r>
        <w:rPr>
          <w:b/>
          <w:i w:val="0"/>
          <w:sz w:val="22"/>
        </w:rPr>
        <w:t>Intelligence block</w:t>
      </w:r>
    </w:p>
    <w:p>
      <w:pPr>
        <w:spacing w:lineRule="auto" w:line="276" w:after="120"/>
      </w:pPr>
      <w:r>
        <w:rPr>
          <w:b w:val="0"/>
          <w:i w:val="0"/>
          <w:sz w:val="22"/>
        </w:rPr>
        <w:t>Benchmark occurrence rate: 50% | Source: 1/2 studies</w:t>
        <w:br/>
        <w:br/>
        <w:t>RPN confidence: LOW | USDM traceability: FULL</w:t>
      </w:r>
    </w:p>
    <w:p/>
    <w:p>
      <w:pPr>
        <w:pStyle w:val="Heading2"/>
      </w:pPr>
      <w:r>
        <w:t>Risk 3 — Enrollment Criteria [—]</w:t>
      </w:r>
    </w:p>
    <w:p>
      <w:pPr>
        <w:spacing w:lineRule="auto" w:line="276" w:after="120"/>
      </w:pPr>
      <w:r>
        <w:rPr>
          <w:b/>
          <w:i w:val="0"/>
          <w:sz w:val="22"/>
        </w:rPr>
        <w:t>Risk Name Match</w:t>
      </w:r>
    </w:p>
    <w:p>
      <w:pPr>
        <w:spacing w:lineRule="auto" w:line="276" w:after="120"/>
      </w:pPr>
      <w:r>
        <w:rPr>
          <w:b w:val="0"/>
          <w:i w:val="0"/>
          <w:sz w:val="22"/>
        </w:rPr>
        <w:t>— **MISS** — not generated under this name.</w:t>
      </w:r>
    </w:p>
    <w:p>
      <w:pPr>
        <w:spacing w:lineRule="auto" w:line="276" w:after="120"/>
      </w:pPr>
      <w:r>
        <w:rPr>
          <w:b/>
          <w:i w:val="0"/>
          <w:sz w:val="22"/>
        </w:rPr>
        <w:t>Match Status</w:t>
      </w:r>
    </w:p>
    <w:p>
      <w:pPr>
        <w:spacing w:lineRule="auto" w:line="276" w:after="120"/>
      </w:pPr>
      <w:r>
        <w:rPr>
          <w:b w:val="0"/>
          <w:i w:val="0"/>
          <w:sz w:val="22"/>
        </w:rPr>
        <w:t>Not generated (see M1 misses).</w:t>
      </w:r>
    </w:p>
    <w:p>
      <w:pPr>
        <w:spacing w:lineRule="auto" w:line="276" w:after="120"/>
      </w:pPr>
      <w:r>
        <w:rPr>
          <w:b/>
          <w:i w:val="0"/>
          <w:sz w:val="22"/>
        </w:rPr>
        <w:t>Ground Truth ID</w:t>
      </w:r>
    </w:p>
    <w:p>
      <w:pPr>
        <w:spacing w:lineRule="auto" w:line="276" w:after="120"/>
      </w:pPr>
      <w:r>
        <w:rPr>
          <w:b w:val="0"/>
          <w:i w:val="0"/>
          <w:sz w:val="22"/>
        </w:rPr>
        <w:t>SR-02218</w:t>
      </w:r>
    </w:p>
    <w:p/>
    <w:p/>
    <w:p>
      <w:pPr>
        <w:pStyle w:val="Heading1"/>
      </w:pPr>
      <w:r>
        <w:t>4. Critical Factors</w:t>
      </w:r>
    </w:p>
    <w:p>
      <w:pPr>
        <w:spacing w:lineRule="auto" w:line="276" w:after="120"/>
      </w:pPr>
      <w:r>
        <w:rPr>
          <w:b w:val="0"/>
          <w:i w:val="0"/>
          <w:sz w:val="22"/>
        </w:rPr>
        <w:t>5 critical factors expected for immunology_phase_iii bucket. 5 matched exactly.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Critical Factor</w:t>
            </w:r>
          </w:p>
        </w:tc>
        <w:tc>
          <w:tcPr>
            <w:tcW w:type="dxa" w:w="79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Match</w:t>
            </w:r>
          </w:p>
        </w:tc>
        <w:tc>
          <w:tcPr>
            <w:tcW w:type="dxa" w:w="331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Critical Data</w:t>
            </w:r>
          </w:p>
        </w:tc>
        <w:tc>
          <w:tcPr>
            <w:tcW w:type="dxa" w:w="331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Critical Process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Endpoints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SALT response data; PGI-C data; PK plasma concentration data (dates and times); eCOA/ePRO secondary endpoint data (ELA, EBA, AAPPO, PROMIS Parent Proxy, BRIEF2, modified CDLQI, acceptability &amp; palatab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Consistent rater training/certification/qualification and assessments for SALT, EBA, ELA, including proper Rater ID assignment/entry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Adverse Event (AE) / Serious Adverse Event (SAE)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AE/SAE data, death details, and vital signs and clinical lab values; Audiological and neurological AE assessment data; Medical history including menarchal status &amp; history of AA treatment clinical res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Identification and assessment of potential audiologic and neurologic events; Routine contraception checks (if applicable), including regular review of menarchal status, contraception compliance, parti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Data Integrity and Reliability of Trial Results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(prior or prohibited); Discontinuation data; Primary diagnosis - severe alopecia areata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Retaining the blind (double-blind design); eCOA/ePRO (SALT, ELA, EBA, AAPPO, PROMIS, BRIEF2, CDLQI) including device setup, data collection compliance &amp; data transmission; Handling, collection, shipme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Eligibility criteria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Inclusion/exclusion criteria data (SALT score &gt;= 50, age 6 to &lt;12 years, history of AA treatment failure, TB/viral infection history)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Accurate compliance to protocol inclusion/exclusion criteria; Confirmation of a history of AA treatment clinical response failure; Verification of negative TB and viral hepatitis status.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Investigational Product Management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Dosing data (Ritlecitinib 50 mg, 30 mg, Placebo capsules)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IP management - Assigned IP kit numbers match between source documents and IRT; Participant/caregiver dosing diary compliance.</w:t>
            </w:r>
          </w:p>
        </w:tc>
      </w:tr>
    </w:tbl>
    <w:p/>
    <w:p/>
    <w:p>
      <w:pPr>
        <w:pStyle w:val="Heading1"/>
      </w:pPr>
      <w:r>
        <w:t>5. Hallucination Check</w:t>
      </w:r>
    </w:p>
    <w:p>
      <w:pPr>
        <w:spacing w:lineRule="auto" w:line="276" w:after="120"/>
      </w:pPr>
      <w:r>
        <w:rPr>
          <w:b/>
          <w:i w:val="0"/>
          <w:sz w:val="28"/>
        </w:rPr>
        <w:t>ZERO HALLUCINATIONS FOUND ✓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Check</w:t>
            </w:r>
          </w:p>
        </w:tc>
        <w:tc>
          <w:tcPr>
            <w:tcW w:type="dxa" w:w="3600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Result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benchmark_source present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usdm_drivers non-empty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associated_cause usdm_trigger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 usdm critical_data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</w:tbl>
    <w:p/>
    <w:p/>
    <w:p>
      <w:pPr>
        <w:pStyle w:val="Heading1"/>
      </w:pPr>
      <w:r>
        <w:t>6. Near Misses</w:t>
      </w:r>
    </w:p>
    <w:p>
      <w:pPr>
        <w:spacing w:lineRule="auto" w:line="276" w:after="120"/>
      </w:pPr>
      <w:r>
        <w:rPr>
          <w:b w:val="0"/>
          <w:i w:val="0"/>
          <w:sz w:val="22"/>
        </w:rPr>
        <w:t>No near misses found. All 3 ground-truth risk names were either matched verbatim or missed outright (Levenshtein logging empty).</w:t>
      </w:r>
    </w:p>
    <w:p/>
    <w:p>
      <w:pPr>
        <w:pStyle w:val="Heading1"/>
      </w:pPr>
      <w:r>
        <w:t>7. Vendor / Site / Other Domain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Domain</w:t>
            </w:r>
          </w:p>
        </w:tc>
        <w:tc>
          <w:tcPr>
            <w:tcW w:type="dxa" w:w="1728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Generated</w:t>
            </w:r>
          </w:p>
        </w:tc>
        <w:tc>
          <w:tcPr>
            <w:tcW w:type="dxa" w:w="1728"/>
            <w:shd w:fill="D9D9D9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2"/>
              </w:rPr>
              <w:t>Ground Truth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Vendor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site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Other domain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</w:tbl>
    <w:p/>
    <w:p>
      <w:pPr>
        <w:spacing w:lineRule="auto" w:line="276" w:after="120"/>
      </w:pPr>
      <w:r>
        <w:rPr>
          <w:b w:val="0"/>
          <w:i w:val="0"/>
          <w:sz w:val="22"/>
        </w:rPr>
        <w:t>If generated counts are zero for all three domains, this matches typical B7981027 ground truth (study risks only). Confirm against protocol-specific GT when available.</w:t>
      </w:r>
    </w:p>
    <w:p/>
    <w:p>
      <w:pPr>
        <w:spacing w:lineRule="auto" w:line="276" w:after="120"/>
        <w:jc w:val="center"/>
      </w:pPr>
      <w:r>
        <w:rPr>
          <w:b w:val="0"/>
          <w:i/>
          <w:sz w:val="18"/>
        </w:rPr>
        <w:t>Confidential | Hexaware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