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006F" w:rsidRPr="00BE006F" w:rsidRDefault="00BE006F" w:rsidP="00BE006F">
      <w:pPr>
        <w:rPr>
          <w:rFonts w:ascii="Times New Roman" w:hAnsi="Times New Roman" w:cs="Times New Roman"/>
          <w:b/>
          <w:bCs/>
          <w:sz w:val="32"/>
          <w:szCs w:val="32"/>
        </w:rPr>
      </w:pPr>
      <w:r w:rsidRPr="00BE006F">
        <w:rPr>
          <w:rFonts w:ascii="Times New Roman" w:hAnsi="Times New Roman" w:cs="Times New Roman"/>
          <w:b/>
          <w:bCs/>
          <w:sz w:val="32"/>
          <w:szCs w:val="32"/>
        </w:rPr>
        <w:t xml:space="preserve">Literature Review: Predictive </w:t>
      </w:r>
      <w:proofErr w:type="spellStart"/>
      <w:r w:rsidRPr="00BE006F">
        <w:rPr>
          <w:rFonts w:ascii="Times New Roman" w:hAnsi="Times New Roman" w:cs="Times New Roman"/>
          <w:b/>
          <w:bCs/>
          <w:sz w:val="32"/>
          <w:szCs w:val="32"/>
        </w:rPr>
        <w:t>Modeling</w:t>
      </w:r>
      <w:proofErr w:type="spellEnd"/>
      <w:r w:rsidRPr="00BE006F">
        <w:rPr>
          <w:rFonts w:ascii="Times New Roman" w:hAnsi="Times New Roman" w:cs="Times New Roman"/>
          <w:b/>
          <w:bCs/>
          <w:sz w:val="32"/>
          <w:szCs w:val="32"/>
        </w:rPr>
        <w:t xml:space="preserve"> of In-Hospital Mortality Following Elective Surgery</w:t>
      </w:r>
    </w:p>
    <w:p w:rsidR="00BE006F" w:rsidRPr="00BE006F" w:rsidRDefault="00BE006F" w:rsidP="00BE006F">
      <w:pPr>
        <w:rPr>
          <w:rFonts w:ascii="Times New Roman" w:hAnsi="Times New Roman" w:cs="Times New Roman"/>
          <w:b/>
          <w:bCs/>
          <w:sz w:val="28"/>
          <w:szCs w:val="28"/>
        </w:rPr>
      </w:pPr>
      <w:r w:rsidRPr="00BE006F">
        <w:rPr>
          <w:rFonts w:ascii="Times New Roman" w:hAnsi="Times New Roman" w:cs="Times New Roman"/>
          <w:b/>
          <w:bCs/>
          <w:sz w:val="28"/>
          <w:szCs w:val="28"/>
        </w:rPr>
        <w:t>Introduction</w:t>
      </w:r>
    </w:p>
    <w:p w:rsidR="0098312D" w:rsidRPr="000B4DBD" w:rsidRDefault="005D5CE5" w:rsidP="000B4DBD">
      <w:pPr>
        <w:rPr>
          <w:rFonts w:ascii="Times New Roman" w:hAnsi="Times New Roman" w:cs="Times New Roman"/>
          <w:sz w:val="24"/>
          <w:szCs w:val="24"/>
        </w:rPr>
      </w:pPr>
      <w:r w:rsidRPr="000B4DBD">
        <w:rPr>
          <w:rFonts w:ascii="Times New Roman" w:hAnsi="Times New Roman" w:cs="Times New Roman"/>
          <w:sz w:val="24"/>
          <w:szCs w:val="24"/>
        </w:rPr>
        <w:t xml:space="preserve">One of the main important things that can reveal patient risk factors, surgical success, quality of care is In Hospital Mortality after Elective Surgery. As there is an increase in surgical complexity and patient population, forecasting the </w:t>
      </w:r>
      <w:r w:rsidR="00B33FF0" w:rsidRPr="000B4DBD">
        <w:rPr>
          <w:rFonts w:ascii="Times New Roman" w:hAnsi="Times New Roman" w:cs="Times New Roman"/>
          <w:sz w:val="24"/>
          <w:szCs w:val="24"/>
        </w:rPr>
        <w:t>unfavourable</w:t>
      </w:r>
      <w:r w:rsidRPr="000B4DBD">
        <w:rPr>
          <w:rFonts w:ascii="Times New Roman" w:hAnsi="Times New Roman" w:cs="Times New Roman"/>
          <w:sz w:val="24"/>
          <w:szCs w:val="24"/>
        </w:rPr>
        <w:t xml:space="preserve"> outcomes</w:t>
      </w:r>
      <w:r w:rsidR="0098312D" w:rsidRPr="000B4DBD">
        <w:rPr>
          <w:rFonts w:ascii="Times New Roman" w:hAnsi="Times New Roman" w:cs="Times New Roman"/>
          <w:sz w:val="24"/>
          <w:szCs w:val="24"/>
        </w:rPr>
        <w:t>, optimizing resource allocation,</w:t>
      </w:r>
      <w:r w:rsidRPr="000B4DBD">
        <w:rPr>
          <w:rFonts w:ascii="Times New Roman" w:hAnsi="Times New Roman" w:cs="Times New Roman"/>
          <w:sz w:val="24"/>
          <w:szCs w:val="24"/>
        </w:rPr>
        <w:t xml:space="preserve"> including in hospital mortality became a</w:t>
      </w:r>
      <w:r w:rsidR="00A45731" w:rsidRPr="000B4DBD">
        <w:rPr>
          <w:rFonts w:ascii="Times New Roman" w:hAnsi="Times New Roman" w:cs="Times New Roman"/>
          <w:sz w:val="24"/>
          <w:szCs w:val="24"/>
        </w:rPr>
        <w:t xml:space="preserve"> focal point in health care research. In order to lower death rates</w:t>
      </w:r>
      <w:r w:rsidR="0098312D" w:rsidRPr="000B4DBD">
        <w:rPr>
          <w:rFonts w:ascii="Times New Roman" w:hAnsi="Times New Roman" w:cs="Times New Roman"/>
          <w:sz w:val="24"/>
          <w:szCs w:val="24"/>
        </w:rPr>
        <w:t xml:space="preserve"> and to enhance risk prediction, recent research have investigated a variety of factors impacting perioperative mortality and have used a variety of approaches, such as sophisticated statistical and machine learning models.</w:t>
      </w:r>
    </w:p>
    <w:p w:rsidR="00BE006F" w:rsidRPr="008728AF" w:rsidRDefault="00BE006F" w:rsidP="00BE006F">
      <w:pPr>
        <w:rPr>
          <w:rFonts w:ascii="Times New Roman" w:hAnsi="Times New Roman" w:cs="Times New Roman"/>
          <w:b/>
          <w:bCs/>
          <w:sz w:val="28"/>
          <w:szCs w:val="28"/>
        </w:rPr>
      </w:pPr>
      <w:r w:rsidRPr="00BE006F">
        <w:rPr>
          <w:rFonts w:ascii="Times New Roman" w:hAnsi="Times New Roman" w:cs="Times New Roman"/>
          <w:b/>
          <w:bCs/>
          <w:sz w:val="28"/>
          <w:szCs w:val="28"/>
        </w:rPr>
        <w:t xml:space="preserve">Key </w:t>
      </w:r>
      <w:r w:rsidR="000B4DBD" w:rsidRPr="008728AF">
        <w:rPr>
          <w:rFonts w:ascii="Times New Roman" w:hAnsi="Times New Roman" w:cs="Times New Roman"/>
          <w:b/>
          <w:bCs/>
          <w:sz w:val="28"/>
          <w:szCs w:val="28"/>
        </w:rPr>
        <w:t>Predictive Factors and Associations</w:t>
      </w:r>
    </w:p>
    <w:p w:rsidR="00B6646D" w:rsidRDefault="000B4DBD" w:rsidP="00B6646D">
      <w:pPr>
        <w:rPr>
          <w:rFonts w:ascii="Times New Roman" w:hAnsi="Times New Roman" w:cs="Times New Roman"/>
          <w:sz w:val="24"/>
          <w:szCs w:val="24"/>
        </w:rPr>
      </w:pPr>
      <w:r w:rsidRPr="000B4DBD">
        <w:rPr>
          <w:rFonts w:ascii="Times New Roman" w:hAnsi="Times New Roman" w:cs="Times New Roman"/>
          <w:sz w:val="24"/>
          <w:szCs w:val="24"/>
        </w:rPr>
        <w:t xml:space="preserve">According to </w:t>
      </w:r>
      <w:r w:rsidRPr="00B6646D">
        <w:rPr>
          <w:rFonts w:ascii="Times New Roman" w:hAnsi="Times New Roman" w:cs="Times New Roman"/>
          <w:b/>
          <w:bCs/>
          <w:sz w:val="24"/>
          <w:szCs w:val="24"/>
        </w:rPr>
        <w:t>Wan et al</w:t>
      </w:r>
      <w:r w:rsidR="003F14B0">
        <w:rPr>
          <w:rFonts w:ascii="Times New Roman" w:hAnsi="Times New Roman" w:cs="Times New Roman"/>
          <w:b/>
          <w:bCs/>
          <w:sz w:val="24"/>
          <w:szCs w:val="24"/>
        </w:rPr>
        <w:t xml:space="preserve"> </w:t>
      </w:r>
      <w:r w:rsidR="00B6646D" w:rsidRPr="00B6646D">
        <w:rPr>
          <w:rFonts w:ascii="Times New Roman" w:hAnsi="Times New Roman" w:cs="Times New Roman"/>
          <w:b/>
          <w:bCs/>
          <w:sz w:val="24"/>
          <w:szCs w:val="24"/>
        </w:rPr>
        <w:t>(2021)</w:t>
      </w:r>
      <w:r w:rsidRPr="000B4DBD">
        <w:rPr>
          <w:rFonts w:ascii="Times New Roman" w:hAnsi="Times New Roman" w:cs="Times New Roman"/>
          <w:sz w:val="24"/>
          <w:szCs w:val="24"/>
        </w:rPr>
        <w:t xml:space="preserve">, postoperative infections are a major contributor to higher mortality and complications following elective procedures. </w:t>
      </w:r>
      <w:r w:rsidR="00B6646D">
        <w:rPr>
          <w:rFonts w:ascii="Times New Roman" w:hAnsi="Times New Roman" w:cs="Times New Roman"/>
          <w:sz w:val="24"/>
          <w:szCs w:val="24"/>
        </w:rPr>
        <w:t xml:space="preserve">They have identified a total of 4032(44814 patients) infections in 2927 in which 737 infections were severe. They observed most frequent infections as surgical-site (1320, 32.7%), pneumonia (708, 17.6%), urinary tract infection (681, 16.9%), antimicrobials (2126 of 2749 77.3%). </w:t>
      </w:r>
      <w:r w:rsidR="00B6646D">
        <w:rPr>
          <w:rFonts w:ascii="Times New Roman" w:hAnsi="Times New Roman" w:cs="Times New Roman"/>
          <w:sz w:val="24"/>
          <w:szCs w:val="24"/>
        </w:rPr>
        <w:br/>
      </w:r>
      <w:r w:rsidR="00B6646D" w:rsidRPr="00B6646D">
        <w:rPr>
          <w:rFonts w:ascii="Times New Roman" w:hAnsi="Times New Roman" w:cs="Times New Roman"/>
          <w:b/>
          <w:bCs/>
          <w:sz w:val="24"/>
          <w:szCs w:val="24"/>
        </w:rPr>
        <w:t>Factors</w:t>
      </w:r>
      <w:r w:rsidR="00B6646D">
        <w:rPr>
          <w:rFonts w:ascii="Times New Roman" w:hAnsi="Times New Roman" w:cs="Times New Roman"/>
          <w:b/>
          <w:bCs/>
          <w:sz w:val="24"/>
          <w:szCs w:val="24"/>
        </w:rPr>
        <w:t xml:space="preserve">: </w:t>
      </w:r>
      <w:r w:rsidR="00B6646D">
        <w:rPr>
          <w:rFonts w:ascii="Times New Roman" w:hAnsi="Times New Roman" w:cs="Times New Roman"/>
          <w:sz w:val="24"/>
          <w:szCs w:val="24"/>
        </w:rPr>
        <w:t xml:space="preserve">Age, gender, ASA grade, preoperative anaemia, anaesthetic technique, surgical category, etc. </w:t>
      </w:r>
      <w:r w:rsidR="00B6646D">
        <w:rPr>
          <w:rFonts w:ascii="Times New Roman" w:hAnsi="Times New Roman" w:cs="Times New Roman"/>
          <w:sz w:val="24"/>
          <w:szCs w:val="24"/>
        </w:rPr>
        <w:br/>
      </w:r>
      <w:r w:rsidR="00B6646D" w:rsidRPr="00B6646D">
        <w:rPr>
          <w:rFonts w:ascii="Times New Roman" w:hAnsi="Times New Roman" w:cs="Times New Roman"/>
          <w:b/>
          <w:bCs/>
          <w:sz w:val="24"/>
          <w:szCs w:val="24"/>
        </w:rPr>
        <w:t>Conclusion</w:t>
      </w:r>
      <w:r w:rsidR="00B6646D">
        <w:rPr>
          <w:rFonts w:ascii="Times New Roman" w:hAnsi="Times New Roman" w:cs="Times New Roman"/>
          <w:b/>
          <w:bCs/>
          <w:sz w:val="24"/>
          <w:szCs w:val="24"/>
        </w:rPr>
        <w:t xml:space="preserve">: </w:t>
      </w:r>
      <w:r w:rsidR="00B6646D">
        <w:rPr>
          <w:rFonts w:ascii="Times New Roman" w:hAnsi="Times New Roman" w:cs="Times New Roman"/>
          <w:sz w:val="24"/>
          <w:szCs w:val="24"/>
        </w:rPr>
        <w:t xml:space="preserve">Infection increased risk of death and duration of hospital stay by </w:t>
      </w:r>
      <w:proofErr w:type="spellStart"/>
      <w:r w:rsidR="00B6646D">
        <w:rPr>
          <w:rFonts w:ascii="Times New Roman" w:hAnsi="Times New Roman" w:cs="Times New Roman"/>
          <w:sz w:val="24"/>
          <w:szCs w:val="24"/>
        </w:rPr>
        <w:t>avg</w:t>
      </w:r>
      <w:proofErr w:type="spellEnd"/>
      <w:r w:rsidR="00B6646D">
        <w:rPr>
          <w:rFonts w:ascii="Times New Roman" w:hAnsi="Times New Roman" w:cs="Times New Roman"/>
          <w:sz w:val="24"/>
          <w:szCs w:val="24"/>
        </w:rPr>
        <w:t xml:space="preserve"> 6.45%. By recognition of this – It will help to create appropriate prevention strategies.</w:t>
      </w:r>
      <w:r w:rsidR="00B6646D">
        <w:rPr>
          <w:rFonts w:ascii="Times New Roman" w:hAnsi="Times New Roman" w:cs="Times New Roman"/>
          <w:sz w:val="24"/>
          <w:szCs w:val="24"/>
        </w:rPr>
        <w:br/>
      </w:r>
      <w:r w:rsidR="00B6646D">
        <w:rPr>
          <w:rFonts w:ascii="Times New Roman" w:hAnsi="Times New Roman" w:cs="Times New Roman"/>
          <w:sz w:val="24"/>
          <w:szCs w:val="24"/>
        </w:rPr>
        <w:br/>
      </w:r>
      <w:r w:rsidR="003F14B0" w:rsidRPr="003F14B0">
        <w:rPr>
          <w:rFonts w:ascii="Times New Roman" w:hAnsi="Times New Roman" w:cs="Times New Roman"/>
          <w:b/>
          <w:bCs/>
          <w:sz w:val="24"/>
          <w:szCs w:val="24"/>
        </w:rPr>
        <w:t>Nathaniel R. Smilowitz</w:t>
      </w:r>
      <w:r w:rsidR="003F14B0">
        <w:rPr>
          <w:rFonts w:ascii="Times New Roman" w:hAnsi="Times New Roman" w:cs="Times New Roman"/>
          <w:b/>
          <w:bCs/>
          <w:sz w:val="24"/>
          <w:szCs w:val="24"/>
        </w:rPr>
        <w:t xml:space="preserve"> </w:t>
      </w:r>
      <w:r w:rsidR="003F14B0" w:rsidRPr="003F14B0">
        <w:rPr>
          <w:rFonts w:ascii="Times New Roman" w:hAnsi="Times New Roman" w:cs="Times New Roman"/>
          <w:b/>
          <w:bCs/>
          <w:sz w:val="24"/>
          <w:szCs w:val="24"/>
        </w:rPr>
        <w:t>(2021)</w:t>
      </w:r>
      <w:r w:rsidR="003F14B0">
        <w:rPr>
          <w:rFonts w:ascii="Times New Roman" w:hAnsi="Times New Roman" w:cs="Times New Roman"/>
          <w:sz w:val="24"/>
          <w:szCs w:val="24"/>
        </w:rPr>
        <w:t xml:space="preserve"> research says that Heart failure (HR) affects nearly 5.7 million adults in US. It is recognized to be associated with increased risk of complications after non-cardiac surgery. In their statistical analysis – Linear regression – Standard error of measurement, Multivariable – Logistic regression which identified factors like Age, sex, tobacco use, obesity, hypertension, diabetes, coronary artery disease, drug &amp; alcohol usage, anaemia, percutaneous coronary intervention (PCI).  In their analysis of large US database, 49% of hospitalizations for non-cardiac surgery were associated with a diagnosis of HF, these patients had higher risk of mortality. </w:t>
      </w:r>
    </w:p>
    <w:p w:rsidR="003F14B0" w:rsidRPr="001D2885" w:rsidRDefault="003F14B0" w:rsidP="001D2885">
      <w:pPr>
        <w:rPr>
          <w:rFonts w:ascii="Times New Roman" w:hAnsi="Times New Roman" w:cs="Times New Roman"/>
          <w:sz w:val="24"/>
          <w:szCs w:val="24"/>
        </w:rPr>
      </w:pPr>
      <w:r w:rsidRPr="003F14B0">
        <w:rPr>
          <w:rFonts w:ascii="Times New Roman" w:hAnsi="Times New Roman" w:cs="Times New Roman"/>
          <w:b/>
          <w:bCs/>
          <w:sz w:val="24"/>
          <w:szCs w:val="24"/>
        </w:rPr>
        <w:t xml:space="preserve">Cabrera, </w:t>
      </w:r>
      <w:proofErr w:type="gramStart"/>
      <w:r w:rsidRPr="003F14B0">
        <w:rPr>
          <w:rFonts w:ascii="Times New Roman" w:hAnsi="Times New Roman" w:cs="Times New Roman"/>
          <w:b/>
          <w:bCs/>
          <w:sz w:val="24"/>
          <w:szCs w:val="24"/>
        </w:rPr>
        <w:t>A</w:t>
      </w:r>
      <w:r w:rsidRPr="003F14B0">
        <w:rPr>
          <w:rFonts w:ascii="Times New Roman" w:hAnsi="Times New Roman" w:cs="Times New Roman"/>
          <w:b/>
          <w:bCs/>
          <w:sz w:val="24"/>
          <w:szCs w:val="24"/>
        </w:rPr>
        <w:t>(</w:t>
      </w:r>
      <w:proofErr w:type="gramEnd"/>
      <w:r w:rsidRPr="003F14B0">
        <w:rPr>
          <w:rFonts w:ascii="Times New Roman" w:hAnsi="Times New Roman" w:cs="Times New Roman"/>
          <w:b/>
          <w:bCs/>
          <w:sz w:val="24"/>
          <w:szCs w:val="24"/>
        </w:rPr>
        <w:t>2024)</w:t>
      </w:r>
      <w:r>
        <w:rPr>
          <w:rFonts w:ascii="Times New Roman" w:hAnsi="Times New Roman" w:cs="Times New Roman"/>
          <w:sz w:val="24"/>
          <w:szCs w:val="24"/>
        </w:rPr>
        <w:t xml:space="preserve"> used 3 ML algorithms </w:t>
      </w:r>
      <w:r w:rsidR="001D2885">
        <w:rPr>
          <w:rFonts w:ascii="Times New Roman" w:hAnsi="Times New Roman" w:cs="Times New Roman"/>
          <w:sz w:val="24"/>
          <w:szCs w:val="24"/>
        </w:rPr>
        <w:t xml:space="preserve">to predict the in hospital mortality among patients with </w:t>
      </w:r>
      <w:r w:rsidR="001D2885" w:rsidRPr="001D2885">
        <w:rPr>
          <w:rFonts w:ascii="Times New Roman" w:hAnsi="Times New Roman" w:cs="Times New Roman"/>
          <w:sz w:val="24"/>
          <w:szCs w:val="24"/>
        </w:rPr>
        <w:t>Ankylosing Spondylitis</w:t>
      </w:r>
      <w:r w:rsidR="001D2885">
        <w:rPr>
          <w:rFonts w:ascii="Times New Roman" w:hAnsi="Times New Roman" w:cs="Times New Roman"/>
          <w:sz w:val="24"/>
          <w:szCs w:val="24"/>
        </w:rPr>
        <w:t xml:space="preserve">(AS) </w:t>
      </w:r>
      <w:r w:rsidR="001D2885" w:rsidRPr="001D2885">
        <w:rPr>
          <w:rFonts w:ascii="Times New Roman" w:hAnsi="Times New Roman" w:cs="Times New Roman"/>
          <w:sz w:val="24"/>
          <w:szCs w:val="24"/>
        </w:rPr>
        <w:t>or Diffuse Idiopathic Skeletal Hyperostosis</w:t>
      </w:r>
      <w:r w:rsidR="001D2885">
        <w:rPr>
          <w:rFonts w:ascii="Times New Roman" w:hAnsi="Times New Roman" w:cs="Times New Roman"/>
          <w:sz w:val="24"/>
          <w:szCs w:val="24"/>
        </w:rPr>
        <w:t xml:space="preserve">(DISH). They stated that finding these mortality causes may serve to provide physicians with an awareness of risk factors for in-hospital mortality and subsequently guide management to share decision making among patients with AS &amp; DISH. The algorithms they have used are Random Forest classifier, Gradient Boosting classifier and Adaptive boosting classifier which had an </w:t>
      </w:r>
      <w:proofErr w:type="spellStart"/>
      <w:r w:rsidR="001D2885">
        <w:rPr>
          <w:rFonts w:ascii="Times New Roman" w:hAnsi="Times New Roman" w:cs="Times New Roman"/>
          <w:sz w:val="24"/>
          <w:szCs w:val="24"/>
        </w:rPr>
        <w:t>avg</w:t>
      </w:r>
      <w:proofErr w:type="spellEnd"/>
      <w:r w:rsidR="001D2885">
        <w:rPr>
          <w:rFonts w:ascii="Times New Roman" w:hAnsi="Times New Roman" w:cs="Times New Roman"/>
          <w:sz w:val="24"/>
          <w:szCs w:val="24"/>
        </w:rPr>
        <w:t xml:space="preserve"> accuracy of 87.52%. </w:t>
      </w:r>
    </w:p>
    <w:p w:rsidR="001D2885" w:rsidRDefault="001D2885" w:rsidP="001D2885">
      <w:pPr>
        <w:rPr>
          <w:rFonts w:ascii="Times New Roman" w:hAnsi="Times New Roman" w:cs="Times New Roman"/>
          <w:sz w:val="24"/>
          <w:szCs w:val="24"/>
        </w:rPr>
      </w:pPr>
      <w:r w:rsidRPr="001D2885">
        <w:rPr>
          <w:rFonts w:ascii="Times New Roman" w:hAnsi="Times New Roman" w:cs="Times New Roman"/>
          <w:b/>
          <w:bCs/>
          <w:sz w:val="24"/>
          <w:szCs w:val="24"/>
        </w:rPr>
        <w:t>Miyake et al. (2020)</w:t>
      </w:r>
      <w:r w:rsidR="00E056FF">
        <w:rPr>
          <w:rFonts w:ascii="Times New Roman" w:hAnsi="Times New Roman" w:cs="Times New Roman"/>
          <w:b/>
          <w:bCs/>
          <w:sz w:val="24"/>
          <w:szCs w:val="24"/>
        </w:rPr>
        <w:t xml:space="preserve"> </w:t>
      </w:r>
      <w:r w:rsidR="00E056FF" w:rsidRPr="00E056FF">
        <w:rPr>
          <w:rFonts w:ascii="Times New Roman" w:hAnsi="Times New Roman" w:cs="Times New Roman"/>
          <w:sz w:val="24"/>
          <w:szCs w:val="24"/>
        </w:rPr>
        <w:t>study</w:t>
      </w:r>
      <w:r w:rsidRPr="001D2885">
        <w:rPr>
          <w:rFonts w:ascii="Times New Roman" w:hAnsi="Times New Roman" w:cs="Times New Roman"/>
          <w:sz w:val="24"/>
          <w:szCs w:val="24"/>
        </w:rPr>
        <w:t xml:space="preserve"> explores the relationship between pre-operative chronic kidney disease (CKD), acute kidney injury (AKI), and in-hospital outcomes</w:t>
      </w:r>
      <w:r w:rsidR="00E056FF">
        <w:rPr>
          <w:rFonts w:ascii="Times New Roman" w:hAnsi="Times New Roman" w:cs="Times New Roman"/>
          <w:sz w:val="24"/>
          <w:szCs w:val="24"/>
        </w:rPr>
        <w:t xml:space="preserve">. They found that patients with pre-operative AKI had significantly increased mortality regardless of CKD factors. AKI was associated with increased use of vasoactive drugs, mechanical ventilation, blood transfusions and post operative renal replacement therapy. </w:t>
      </w:r>
      <w:r w:rsidR="00E056FF">
        <w:rPr>
          <w:rFonts w:ascii="Times New Roman" w:hAnsi="Times New Roman" w:cs="Times New Roman"/>
          <w:sz w:val="24"/>
          <w:szCs w:val="24"/>
        </w:rPr>
        <w:br/>
      </w:r>
      <w:proofErr w:type="gramStart"/>
      <w:r w:rsidR="00E056FF">
        <w:rPr>
          <w:rFonts w:ascii="Times New Roman" w:hAnsi="Times New Roman" w:cs="Times New Roman"/>
          <w:sz w:val="24"/>
          <w:szCs w:val="24"/>
        </w:rPr>
        <w:t>Also</w:t>
      </w:r>
      <w:proofErr w:type="gramEnd"/>
      <w:r w:rsidR="00E056FF">
        <w:rPr>
          <w:rFonts w:ascii="Times New Roman" w:hAnsi="Times New Roman" w:cs="Times New Roman"/>
          <w:sz w:val="24"/>
          <w:szCs w:val="24"/>
        </w:rPr>
        <w:t xml:space="preserve"> the length of stay was longer for patients with AKI or severe CKD</w:t>
      </w:r>
      <w:r w:rsidR="00E056FF">
        <w:rPr>
          <w:rFonts w:ascii="Times New Roman" w:hAnsi="Times New Roman" w:cs="Times New Roman"/>
          <w:sz w:val="24"/>
          <w:szCs w:val="24"/>
        </w:rPr>
        <w:br/>
      </w:r>
      <w:r w:rsidR="00E056FF">
        <w:rPr>
          <w:rFonts w:ascii="Times New Roman" w:hAnsi="Times New Roman" w:cs="Times New Roman"/>
          <w:sz w:val="24"/>
          <w:szCs w:val="24"/>
        </w:rPr>
        <w:lastRenderedPageBreak/>
        <w:t xml:space="preserve">One important finding is that, early identification and intervention for AKI to mitigate mortality and complications </w:t>
      </w:r>
      <w:r w:rsidR="00C03FCC">
        <w:rPr>
          <w:rFonts w:ascii="Times New Roman" w:hAnsi="Times New Roman" w:cs="Times New Roman"/>
          <w:sz w:val="24"/>
          <w:szCs w:val="24"/>
        </w:rPr>
        <w:t xml:space="preserve">post-surgery. </w:t>
      </w:r>
    </w:p>
    <w:p w:rsidR="00CC14FC" w:rsidRDefault="00CC14FC" w:rsidP="001D2885">
      <w:pPr>
        <w:rPr>
          <w:rFonts w:ascii="Times New Roman" w:hAnsi="Times New Roman" w:cs="Times New Roman"/>
          <w:sz w:val="24"/>
          <w:szCs w:val="24"/>
        </w:rPr>
      </w:pPr>
      <w:r w:rsidRPr="00CC14FC">
        <w:rPr>
          <w:rFonts w:ascii="Times New Roman" w:hAnsi="Times New Roman" w:cs="Times New Roman"/>
          <w:b/>
          <w:bCs/>
          <w:sz w:val="24"/>
          <w:szCs w:val="24"/>
        </w:rPr>
        <w:t>Castro-Dominguez et al. (2021)</w:t>
      </w:r>
      <w:r>
        <w:rPr>
          <w:rFonts w:ascii="Times New Roman" w:hAnsi="Times New Roman" w:cs="Times New Roman"/>
          <w:sz w:val="24"/>
          <w:szCs w:val="24"/>
        </w:rPr>
        <w:t xml:space="preserve"> research on PCI (706236) at 1608 sites highlighted the factors like procedural urgency, cardiovascular instability, level of consciousness after cardiac arrest were some of the factors contributing to in hospital mortality (1.91%). Their model – multivariate logistic regression which was used for 70% model development (495005 – 1608 sites – mortality of 1.91%) and 30% model validation (211258 – 1606 sites – mortality 1.93%) can be used to improve clinical decision-making and optimize resource allocation in high-risk population. </w:t>
      </w:r>
    </w:p>
    <w:p w:rsidR="00B33FF0" w:rsidRDefault="00CC14FC" w:rsidP="00B33FF0">
      <w:pPr>
        <w:rPr>
          <w:rFonts w:ascii="Times New Roman" w:hAnsi="Times New Roman" w:cs="Times New Roman"/>
          <w:sz w:val="24"/>
          <w:szCs w:val="24"/>
        </w:rPr>
      </w:pPr>
      <w:r w:rsidRPr="00CC14FC">
        <w:rPr>
          <w:rFonts w:ascii="Times New Roman" w:hAnsi="Times New Roman" w:cs="Times New Roman"/>
          <w:b/>
          <w:bCs/>
          <w:sz w:val="24"/>
          <w:szCs w:val="24"/>
        </w:rPr>
        <w:t>Kassahun et al (2024)</w:t>
      </w:r>
      <w:r>
        <w:rPr>
          <w:rFonts w:ascii="Times New Roman" w:hAnsi="Times New Roman" w:cs="Times New Roman"/>
          <w:sz w:val="24"/>
          <w:szCs w:val="24"/>
        </w:rPr>
        <w:t xml:space="preserve"> – study on chronic obstructive pulmonary disease impact (COPD) and outcomes of acute abdominal diagnosis states that patients with COPD had higher mortality and longer hospital stays with extended ventilation post-surgery – these also contributed in respiratory and cardio vascular outcomes after surgery. </w:t>
      </w:r>
    </w:p>
    <w:p w:rsidR="00EA5AE8" w:rsidRDefault="00EA5AE8" w:rsidP="00B33FF0">
      <w:pPr>
        <w:rPr>
          <w:rFonts w:ascii="Times New Roman" w:hAnsi="Times New Roman" w:cs="Times New Roman"/>
          <w:sz w:val="24"/>
          <w:szCs w:val="24"/>
        </w:rPr>
      </w:pPr>
    </w:p>
    <w:p w:rsidR="001D71E9" w:rsidRPr="00BE006F" w:rsidRDefault="00BE006F" w:rsidP="00BE006F">
      <w:pPr>
        <w:rPr>
          <w:rFonts w:ascii="Times New Roman" w:hAnsi="Times New Roman" w:cs="Times New Roman"/>
          <w:b/>
          <w:bCs/>
          <w:sz w:val="24"/>
          <w:szCs w:val="24"/>
        </w:rPr>
      </w:pPr>
      <w:r w:rsidRPr="00BE006F">
        <w:rPr>
          <w:rFonts w:ascii="Times New Roman" w:hAnsi="Times New Roman" w:cs="Times New Roman"/>
          <w:b/>
          <w:bCs/>
          <w:sz w:val="24"/>
          <w:szCs w:val="24"/>
        </w:rPr>
        <w:t>Conclusion</w:t>
      </w:r>
    </w:p>
    <w:p w:rsidR="00ED2127" w:rsidRPr="00ED2127" w:rsidRDefault="00ED2127" w:rsidP="00ED2127">
      <w:pPr>
        <w:rPr>
          <w:rFonts w:ascii="Times New Roman" w:hAnsi="Times New Roman" w:cs="Times New Roman"/>
          <w:sz w:val="24"/>
          <w:szCs w:val="24"/>
        </w:rPr>
      </w:pPr>
      <w:r w:rsidRPr="00ED2127">
        <w:rPr>
          <w:rFonts w:ascii="Times New Roman" w:hAnsi="Times New Roman" w:cs="Times New Roman"/>
          <w:sz w:val="24"/>
          <w:szCs w:val="24"/>
        </w:rPr>
        <w:t xml:space="preserve">The predictive </w:t>
      </w:r>
      <w:proofErr w:type="spellStart"/>
      <w:r w:rsidRPr="00ED2127">
        <w:rPr>
          <w:rFonts w:ascii="Times New Roman" w:hAnsi="Times New Roman" w:cs="Times New Roman"/>
          <w:sz w:val="24"/>
          <w:szCs w:val="24"/>
        </w:rPr>
        <w:t>modeling</w:t>
      </w:r>
      <w:proofErr w:type="spellEnd"/>
      <w:r w:rsidRPr="00ED2127">
        <w:rPr>
          <w:rFonts w:ascii="Times New Roman" w:hAnsi="Times New Roman" w:cs="Times New Roman"/>
          <w:sz w:val="24"/>
          <w:szCs w:val="24"/>
        </w:rPr>
        <w:t xml:space="preserve"> of mortality in hospital after elective surgery has </w:t>
      </w:r>
      <w:r w:rsidR="001D71E9">
        <w:rPr>
          <w:rFonts w:ascii="Times New Roman" w:hAnsi="Times New Roman" w:cs="Times New Roman"/>
          <w:sz w:val="24"/>
          <w:szCs w:val="24"/>
        </w:rPr>
        <w:t>proved to be efficient in identifying the risk of mortality for patients undergoing different surgery and identifying factors that effect their mortality, these findings will serve physicians to be aware of risk factors and guide management to share decision making. Some of the researches above have stated that clinical applications of associations are limited by several methodologic considerations.</w:t>
      </w:r>
      <w:r w:rsidR="00AD73FE">
        <w:rPr>
          <w:rFonts w:ascii="Times New Roman" w:hAnsi="Times New Roman" w:cs="Times New Roman"/>
          <w:sz w:val="24"/>
          <w:szCs w:val="24"/>
        </w:rPr>
        <w:t xml:space="preserve"> As you can see in the above mentioned articles, there are many factors that contribute to the in hospital mortality, </w:t>
      </w:r>
      <w:r w:rsidR="001D71E9">
        <w:rPr>
          <w:rFonts w:ascii="Times New Roman" w:hAnsi="Times New Roman" w:cs="Times New Roman"/>
          <w:sz w:val="24"/>
          <w:szCs w:val="24"/>
        </w:rPr>
        <w:t>In our research, we would like to identify risk factors, based on our dataset – we would like to provide insights about the underlying conditions that led to mortality in different facilities located throughout the US</w:t>
      </w:r>
      <w:r w:rsidR="00AD73FE">
        <w:rPr>
          <w:rFonts w:ascii="Times New Roman" w:hAnsi="Times New Roman" w:cs="Times New Roman"/>
          <w:sz w:val="24"/>
          <w:szCs w:val="24"/>
        </w:rPr>
        <w:t xml:space="preserve"> (as our dataset contains complications and deaths happened from 3</w:t>
      </w:r>
      <w:r w:rsidR="00AD73FE" w:rsidRPr="00AD73FE">
        <w:rPr>
          <w:rFonts w:ascii="Times New Roman" w:hAnsi="Times New Roman" w:cs="Times New Roman"/>
          <w:sz w:val="24"/>
          <w:szCs w:val="24"/>
          <w:vertAlign w:val="superscript"/>
        </w:rPr>
        <w:t>rd</w:t>
      </w:r>
      <w:r w:rsidR="00AD73FE">
        <w:rPr>
          <w:rFonts w:ascii="Times New Roman" w:hAnsi="Times New Roman" w:cs="Times New Roman"/>
          <w:sz w:val="24"/>
          <w:szCs w:val="24"/>
        </w:rPr>
        <w:t xml:space="preserve"> quarter since 2020 all across the US</w:t>
      </w:r>
      <w:proofErr w:type="gramStart"/>
      <w:r w:rsidR="00AD73FE">
        <w:rPr>
          <w:rFonts w:ascii="Times New Roman" w:hAnsi="Times New Roman" w:cs="Times New Roman"/>
          <w:sz w:val="24"/>
          <w:szCs w:val="24"/>
        </w:rPr>
        <w:t xml:space="preserve">) </w:t>
      </w:r>
      <w:r w:rsidR="001D71E9">
        <w:rPr>
          <w:rFonts w:ascii="Times New Roman" w:hAnsi="Times New Roman" w:cs="Times New Roman"/>
          <w:sz w:val="24"/>
          <w:szCs w:val="24"/>
        </w:rPr>
        <w:t>.</w:t>
      </w:r>
      <w:proofErr w:type="gramEnd"/>
      <w:r w:rsidR="001D71E9">
        <w:rPr>
          <w:rFonts w:ascii="Times New Roman" w:hAnsi="Times New Roman" w:cs="Times New Roman"/>
          <w:sz w:val="24"/>
          <w:szCs w:val="24"/>
        </w:rPr>
        <w:t xml:space="preserve"> In this research we would inculcate multiple machine learning models t</w:t>
      </w:r>
      <w:r w:rsidR="00855B14">
        <w:rPr>
          <w:rFonts w:ascii="Times New Roman" w:hAnsi="Times New Roman" w:cs="Times New Roman"/>
          <w:sz w:val="24"/>
          <w:szCs w:val="24"/>
        </w:rPr>
        <w:t xml:space="preserve">o </w:t>
      </w:r>
      <w:r w:rsidR="00AD73FE">
        <w:rPr>
          <w:rFonts w:ascii="Times New Roman" w:hAnsi="Times New Roman" w:cs="Times New Roman"/>
          <w:sz w:val="24"/>
          <w:szCs w:val="24"/>
        </w:rPr>
        <w:t xml:space="preserve">measure the performance of each model, their accuracy, </w:t>
      </w:r>
      <w:r w:rsidR="00EA5AE8">
        <w:rPr>
          <w:rFonts w:ascii="Times New Roman" w:hAnsi="Times New Roman" w:cs="Times New Roman"/>
          <w:sz w:val="24"/>
          <w:szCs w:val="24"/>
        </w:rPr>
        <w:t xml:space="preserve">provide useful in-sights from our data and to </w:t>
      </w:r>
      <w:r w:rsidR="00855B14">
        <w:rPr>
          <w:rFonts w:ascii="Times New Roman" w:hAnsi="Times New Roman" w:cs="Times New Roman"/>
          <w:sz w:val="24"/>
          <w:szCs w:val="24"/>
        </w:rPr>
        <w:t xml:space="preserve">make valuable conclusions. </w:t>
      </w:r>
    </w:p>
    <w:p w:rsidR="00ED2127" w:rsidRDefault="00ED2127" w:rsidP="00ED2127">
      <w:pPr>
        <w:rPr>
          <w:rFonts w:ascii="Times New Roman" w:hAnsi="Times New Roman" w:cs="Times New Roman"/>
          <w:sz w:val="24"/>
          <w:szCs w:val="24"/>
        </w:rPr>
      </w:pPr>
      <w:r w:rsidRPr="00ED2127">
        <w:rPr>
          <w:rFonts w:ascii="Times New Roman" w:hAnsi="Times New Roman" w:cs="Times New Roman"/>
          <w:sz w:val="24"/>
          <w:szCs w:val="24"/>
        </w:rPr>
        <w:t>Future work should focus on developing models using an inclusive multiple-</w:t>
      </w:r>
      <w:proofErr w:type="spellStart"/>
      <w:r w:rsidRPr="00ED2127">
        <w:rPr>
          <w:rFonts w:ascii="Times New Roman" w:hAnsi="Times New Roman" w:cs="Times New Roman"/>
          <w:sz w:val="24"/>
          <w:szCs w:val="24"/>
        </w:rPr>
        <w:t>center</w:t>
      </w:r>
      <w:proofErr w:type="spellEnd"/>
      <w:r w:rsidRPr="00ED2127">
        <w:rPr>
          <w:rFonts w:ascii="Times New Roman" w:hAnsi="Times New Roman" w:cs="Times New Roman"/>
          <w:sz w:val="24"/>
          <w:szCs w:val="24"/>
        </w:rPr>
        <w:t xml:space="preserve"> approach of data to increase prediction accuracy and applicability across populations. Also, improvements in transparency and interpretability will allow machine learning algorithms to become more applicable and integrated with clinical practice. All these developments fill predictive </w:t>
      </w:r>
      <w:proofErr w:type="spellStart"/>
      <w:r w:rsidRPr="00ED2127">
        <w:rPr>
          <w:rFonts w:ascii="Times New Roman" w:hAnsi="Times New Roman" w:cs="Times New Roman"/>
          <w:sz w:val="24"/>
          <w:szCs w:val="24"/>
        </w:rPr>
        <w:t>modeling</w:t>
      </w:r>
      <w:proofErr w:type="spellEnd"/>
      <w:r w:rsidRPr="00ED2127">
        <w:rPr>
          <w:rFonts w:ascii="Times New Roman" w:hAnsi="Times New Roman" w:cs="Times New Roman"/>
          <w:sz w:val="24"/>
          <w:szCs w:val="24"/>
        </w:rPr>
        <w:t xml:space="preserve"> with great potential to tackle surgical outcomes, reduce in-hospital mortality, and improve patient safety. </w:t>
      </w:r>
    </w:p>
    <w:p w:rsidR="00BE006F" w:rsidRPr="00BE006F" w:rsidRDefault="00BE006F" w:rsidP="00ED2127">
      <w:pPr>
        <w:rPr>
          <w:rFonts w:ascii="Times New Roman" w:hAnsi="Times New Roman" w:cs="Times New Roman"/>
          <w:b/>
          <w:bCs/>
          <w:sz w:val="28"/>
          <w:szCs w:val="28"/>
        </w:rPr>
      </w:pPr>
      <w:r w:rsidRPr="00BE006F">
        <w:rPr>
          <w:rFonts w:ascii="Times New Roman" w:hAnsi="Times New Roman" w:cs="Times New Roman"/>
          <w:b/>
          <w:bCs/>
          <w:sz w:val="28"/>
          <w:szCs w:val="28"/>
        </w:rPr>
        <w:t>References</w:t>
      </w:r>
    </w:p>
    <w:p w:rsidR="00BE006F" w:rsidRPr="00BE006F" w:rsidRDefault="00BE006F" w:rsidP="00BE006F">
      <w:pPr>
        <w:numPr>
          <w:ilvl w:val="0"/>
          <w:numId w:val="4"/>
        </w:numPr>
        <w:rPr>
          <w:rFonts w:ascii="Times New Roman" w:hAnsi="Times New Roman" w:cs="Times New Roman"/>
        </w:rPr>
      </w:pPr>
      <w:r w:rsidRPr="00BE006F">
        <w:rPr>
          <w:rFonts w:ascii="Times New Roman" w:hAnsi="Times New Roman" w:cs="Times New Roman"/>
        </w:rPr>
        <w:t>Zhang, X., et al. (2020). "Neural Networks for Predicting In-Hospital Mortality After Cardiac Surgery." </w:t>
      </w:r>
      <w:r w:rsidRPr="00BE006F">
        <w:rPr>
          <w:rFonts w:ascii="Times New Roman" w:hAnsi="Times New Roman" w:cs="Times New Roman"/>
          <w:i/>
          <w:iCs/>
        </w:rPr>
        <w:t>Journal of Cardiac Surgery</w:t>
      </w:r>
      <w:r w:rsidRPr="00BE006F">
        <w:rPr>
          <w:rFonts w:ascii="Times New Roman" w:hAnsi="Times New Roman" w:cs="Times New Roman"/>
        </w:rPr>
        <w:t>, 35(2), 114-120.</w:t>
      </w:r>
    </w:p>
    <w:p w:rsidR="00BE006F" w:rsidRPr="00ED2127" w:rsidRDefault="00BE006F" w:rsidP="00BE006F">
      <w:pPr>
        <w:numPr>
          <w:ilvl w:val="0"/>
          <w:numId w:val="4"/>
        </w:numPr>
        <w:rPr>
          <w:rFonts w:ascii="Times New Roman" w:hAnsi="Times New Roman" w:cs="Times New Roman"/>
        </w:rPr>
      </w:pPr>
      <w:r w:rsidRPr="00BE006F">
        <w:rPr>
          <w:rFonts w:ascii="Times New Roman" w:hAnsi="Times New Roman" w:cs="Times New Roman"/>
        </w:rPr>
        <w:t>Patel, V., et al. (2022). "External Validation of Predictive Models for Surgical Mortality in Diverse Cohorts." </w:t>
      </w:r>
      <w:r w:rsidRPr="00BE006F">
        <w:rPr>
          <w:rFonts w:ascii="Times New Roman" w:hAnsi="Times New Roman" w:cs="Times New Roman"/>
          <w:i/>
          <w:iCs/>
        </w:rPr>
        <w:t>Healthcare Informatics Research</w:t>
      </w:r>
      <w:r w:rsidRPr="00BE006F">
        <w:rPr>
          <w:rFonts w:ascii="Times New Roman" w:hAnsi="Times New Roman" w:cs="Times New Roman"/>
        </w:rPr>
        <w:t>, 28(1), 53-60.</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lastRenderedPageBreak/>
        <w:t xml:space="preserve">Wan, Y. I., Patel, A., Achary, C., Hewson, R., </w:t>
      </w:r>
      <w:proofErr w:type="spellStart"/>
      <w:r w:rsidRPr="00ED2127">
        <w:rPr>
          <w:rFonts w:ascii="Times New Roman" w:hAnsi="Times New Roman" w:cs="Times New Roman"/>
        </w:rPr>
        <w:t>Phull</w:t>
      </w:r>
      <w:proofErr w:type="spellEnd"/>
      <w:r w:rsidRPr="00ED2127">
        <w:rPr>
          <w:rFonts w:ascii="Times New Roman" w:hAnsi="Times New Roman" w:cs="Times New Roman"/>
        </w:rPr>
        <w:t>, M., &amp; Pearse, R. M. (2021). Postoperative infection and mortality following elective surgery in the International Surgical Outcomes Study (ISOS). British Journal of Surgery, 108(2), 220–227.</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Smilowitz, N. R., Banco, D., Katz, S. D., Beckman, J. A., &amp; Berger, J. S. (2021). Association between heart failure and perioperative outcomes in patients undergoing non-cardiac surgery. European Heart Journal - Quality of Care and Clinical Outcomes, 7(1), 68–75. </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Cabrera, A., Bouterse, A., Nelson, M., Dietrich, C., Razzouk, J., </w:t>
      </w:r>
      <w:proofErr w:type="spellStart"/>
      <w:r w:rsidRPr="00ED2127">
        <w:rPr>
          <w:rFonts w:ascii="Times New Roman" w:hAnsi="Times New Roman" w:cs="Times New Roman"/>
        </w:rPr>
        <w:t>Oyoyo</w:t>
      </w:r>
      <w:proofErr w:type="spellEnd"/>
      <w:r w:rsidRPr="00ED2127">
        <w:rPr>
          <w:rFonts w:ascii="Times New Roman" w:hAnsi="Times New Roman" w:cs="Times New Roman"/>
        </w:rPr>
        <w:t xml:space="preserve">, U., Bono, C. M., &amp; Danisa, O. (2024). Prediction of In-Hospital Mortality Following Vertebral Fracture Fixation in Patients </w:t>
      </w:r>
      <w:r w:rsidR="008728AF" w:rsidRPr="00ED2127">
        <w:rPr>
          <w:rFonts w:ascii="Times New Roman" w:hAnsi="Times New Roman" w:cs="Times New Roman"/>
        </w:rPr>
        <w:t>w</w:t>
      </w:r>
      <w:r w:rsidRPr="00ED2127">
        <w:rPr>
          <w:rFonts w:ascii="Times New Roman" w:hAnsi="Times New Roman" w:cs="Times New Roman"/>
        </w:rPr>
        <w:t xml:space="preserve">ith Ankylosing Spondylitis or Diffuse Idiopathic Skeletal Hyperostosis: Machine Learning Analysis. International Journal of Spine Surgery, 18(1), 62–68. </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Miyake, K., </w:t>
      </w:r>
      <w:proofErr w:type="spellStart"/>
      <w:r w:rsidRPr="00ED2127">
        <w:rPr>
          <w:rFonts w:ascii="Times New Roman" w:hAnsi="Times New Roman" w:cs="Times New Roman"/>
        </w:rPr>
        <w:t>Iwagami</w:t>
      </w:r>
      <w:proofErr w:type="spellEnd"/>
      <w:r w:rsidRPr="00ED2127">
        <w:rPr>
          <w:rFonts w:ascii="Times New Roman" w:hAnsi="Times New Roman" w:cs="Times New Roman"/>
        </w:rPr>
        <w:t xml:space="preserve">, M., </w:t>
      </w:r>
      <w:proofErr w:type="spellStart"/>
      <w:r w:rsidRPr="00ED2127">
        <w:rPr>
          <w:rFonts w:ascii="Times New Roman" w:hAnsi="Times New Roman" w:cs="Times New Roman"/>
        </w:rPr>
        <w:t>Ohtake</w:t>
      </w:r>
      <w:proofErr w:type="spellEnd"/>
      <w:r w:rsidRPr="00ED2127">
        <w:rPr>
          <w:rFonts w:ascii="Times New Roman" w:hAnsi="Times New Roman" w:cs="Times New Roman"/>
        </w:rPr>
        <w:t>, T., Moriya, H., Kume, N., Murata, T., Nishida, T., Mochida, Y., Isogai, N., Ishioka, K., Shimoyama, R., Hidaka, S., Kashiwagi, H., Kawachi, J., Ogino, H., &amp; Kobayashi, S. (2020). Association of pre-operative chronic kidney disease and acute kidney injury with in-hospital outcomes of emergency colorectal surgery: A cohort study. World Journal of Emergency Surgery, 15(1).</w:t>
      </w:r>
    </w:p>
    <w:p w:rsidR="000B4DBD" w:rsidRPr="00ED2127" w:rsidRDefault="000B4DBD" w:rsidP="00BE006F">
      <w:pPr>
        <w:numPr>
          <w:ilvl w:val="0"/>
          <w:numId w:val="4"/>
        </w:numPr>
        <w:rPr>
          <w:rFonts w:ascii="Times New Roman" w:hAnsi="Times New Roman" w:cs="Times New Roman"/>
        </w:rPr>
      </w:pPr>
      <w:r w:rsidRPr="00ED2127">
        <w:rPr>
          <w:rFonts w:ascii="Times New Roman" w:hAnsi="Times New Roman" w:cs="Times New Roman"/>
        </w:rPr>
        <w:t xml:space="preserve">Ruge, H., Deutsch, M. A., Erlebach, M., Burri, M., Bleiziffer, S., &amp; Lange, R. (2020). TAVR in Patients on </w:t>
      </w:r>
      <w:proofErr w:type="spellStart"/>
      <w:r w:rsidRPr="00ED2127">
        <w:rPr>
          <w:rFonts w:ascii="Times New Roman" w:hAnsi="Times New Roman" w:cs="Times New Roman"/>
        </w:rPr>
        <w:t>Hemodialysis</w:t>
      </w:r>
      <w:proofErr w:type="spellEnd"/>
      <w:r w:rsidRPr="00ED2127">
        <w:rPr>
          <w:rFonts w:ascii="Times New Roman" w:hAnsi="Times New Roman" w:cs="Times New Roman"/>
        </w:rPr>
        <w:t xml:space="preserve">: Outcome of A High-Risk Patient Group. Heart Surgery Forum, 23(5), E611–E616. </w:t>
      </w:r>
    </w:p>
    <w:p w:rsidR="000B4DBD" w:rsidRPr="00BE006F" w:rsidRDefault="000B4DBD" w:rsidP="00C6497D">
      <w:pPr>
        <w:numPr>
          <w:ilvl w:val="0"/>
          <w:numId w:val="4"/>
        </w:numPr>
        <w:rPr>
          <w:rFonts w:ascii="Times New Roman" w:hAnsi="Times New Roman" w:cs="Times New Roman"/>
        </w:rPr>
      </w:pPr>
      <w:r w:rsidRPr="00ED2127">
        <w:rPr>
          <w:rFonts w:ascii="Times New Roman" w:hAnsi="Times New Roman" w:cs="Times New Roman"/>
        </w:rPr>
        <w:t>Castro-Dominguez, Y. S., Wang, Y., Minges, K. E., McNamara, R. L., Spertus, J. A., Dehmer, G. J., Messenger, J. C., Lavin, K., Anderson, C., Blankinship, K., Mercado, N., Clary, J. M., Osborne, A. D., Curtis, J. P., &amp; Cavender, M. A. (2021). Predicting In-Hospital Mortality in Patients Undergoing Percutaneous Coronary Intervention. Journal of the American College of Cardiology, 78(3), 216–229.Kassahun, W. T., Babel, J., &amp; Mehdorn, M. (2024). The impact of chronic obstructive pulmonary disease on surgical outcomes after surgery for an acute abdominal diagnosis. European Journal of Trauma and Emergency Surgery, 50(3), 799–808.</w:t>
      </w:r>
    </w:p>
    <w:tbl>
      <w:tblPr>
        <w:tblW w:w="0" w:type="auto"/>
        <w:tblCellMar>
          <w:top w:w="15" w:type="dxa"/>
          <w:left w:w="15" w:type="dxa"/>
          <w:bottom w:w="15" w:type="dxa"/>
          <w:right w:w="15" w:type="dxa"/>
        </w:tblCellMar>
        <w:tblLook w:val="04A0" w:firstRow="1" w:lastRow="0" w:firstColumn="1" w:lastColumn="0" w:noHBand="0" w:noVBand="1"/>
      </w:tblPr>
      <w:tblGrid>
        <w:gridCol w:w="579"/>
        <w:gridCol w:w="8447"/>
      </w:tblGrid>
      <w:tr w:rsidR="00BE006F" w:rsidRPr="00BE006F" w:rsidTr="00BE006F">
        <w:tc>
          <w:tcPr>
            <w:tcW w:w="660" w:type="dxa"/>
            <w:tcMar>
              <w:top w:w="0" w:type="dxa"/>
              <w:left w:w="240" w:type="dxa"/>
              <w:bottom w:w="0" w:type="dxa"/>
              <w:right w:w="240" w:type="dxa"/>
            </w:tcMar>
            <w:hideMark/>
          </w:tcPr>
          <w:p w:rsidR="00BE006F" w:rsidRPr="00BE006F" w:rsidRDefault="00BE006F" w:rsidP="00BE006F">
            <w:pPr>
              <w:rPr>
                <w:rFonts w:ascii="Times New Roman" w:hAnsi="Times New Roman" w:cs="Times New Roman"/>
              </w:rPr>
            </w:pPr>
          </w:p>
        </w:tc>
        <w:tc>
          <w:tcPr>
            <w:tcW w:w="15780" w:type="dxa"/>
            <w:tcMar>
              <w:top w:w="0" w:type="dxa"/>
              <w:left w:w="0" w:type="dxa"/>
              <w:bottom w:w="0" w:type="dxa"/>
              <w:right w:w="0" w:type="dxa"/>
            </w:tcMar>
            <w:vAlign w:val="center"/>
            <w:hideMark/>
          </w:tcPr>
          <w:p w:rsidR="00BE006F" w:rsidRPr="00BE006F" w:rsidRDefault="00BE006F" w:rsidP="00BE006F">
            <w:pPr>
              <w:rPr>
                <w:rFonts w:ascii="Times New Roman" w:hAnsi="Times New Roman" w:cs="Times New Roman"/>
              </w:rPr>
            </w:pPr>
          </w:p>
        </w:tc>
      </w:tr>
    </w:tbl>
    <w:p w:rsidR="00DA0E32" w:rsidRDefault="00DA0E32"/>
    <w:sectPr w:rsidR="00DA0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F54"/>
    <w:multiLevelType w:val="multilevel"/>
    <w:tmpl w:val="2BA6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71F78"/>
    <w:multiLevelType w:val="multilevel"/>
    <w:tmpl w:val="EE7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A7D28"/>
    <w:multiLevelType w:val="multilevel"/>
    <w:tmpl w:val="710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F04A5"/>
    <w:multiLevelType w:val="multilevel"/>
    <w:tmpl w:val="9A6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127902">
    <w:abstractNumId w:val="2"/>
  </w:num>
  <w:num w:numId="2" w16cid:durableId="1166359368">
    <w:abstractNumId w:val="3"/>
  </w:num>
  <w:num w:numId="3" w16cid:durableId="1449618830">
    <w:abstractNumId w:val="0"/>
  </w:num>
  <w:num w:numId="4" w16cid:durableId="2061203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6F"/>
    <w:rsid w:val="000B4DBD"/>
    <w:rsid w:val="001D2885"/>
    <w:rsid w:val="001D71E9"/>
    <w:rsid w:val="00331413"/>
    <w:rsid w:val="003F14B0"/>
    <w:rsid w:val="00445A3F"/>
    <w:rsid w:val="005D5CE5"/>
    <w:rsid w:val="006301E8"/>
    <w:rsid w:val="00855B14"/>
    <w:rsid w:val="008728AF"/>
    <w:rsid w:val="0098312D"/>
    <w:rsid w:val="009A0174"/>
    <w:rsid w:val="00A24948"/>
    <w:rsid w:val="00A45731"/>
    <w:rsid w:val="00AC0305"/>
    <w:rsid w:val="00AD73FE"/>
    <w:rsid w:val="00B33FF0"/>
    <w:rsid w:val="00B6646D"/>
    <w:rsid w:val="00BE006F"/>
    <w:rsid w:val="00C03FCC"/>
    <w:rsid w:val="00CC14FC"/>
    <w:rsid w:val="00DA0E32"/>
    <w:rsid w:val="00DC55B8"/>
    <w:rsid w:val="00E056FF"/>
    <w:rsid w:val="00EA5AE8"/>
    <w:rsid w:val="00ED2127"/>
    <w:rsid w:val="00F01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80AF"/>
  <w15:chartTrackingRefBased/>
  <w15:docId w15:val="{BAD05761-1BF3-43A9-9154-0C8AD1F8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DBD"/>
    <w:rPr>
      <w:color w:val="0563C1" w:themeColor="hyperlink"/>
      <w:u w:val="single"/>
    </w:rPr>
  </w:style>
  <w:style w:type="character" w:styleId="UnresolvedMention">
    <w:name w:val="Unresolved Mention"/>
    <w:basedOn w:val="DefaultParagraphFont"/>
    <w:uiPriority w:val="99"/>
    <w:semiHidden/>
    <w:unhideWhenUsed/>
    <w:rsid w:val="000B4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20368">
      <w:bodyDiv w:val="1"/>
      <w:marLeft w:val="0"/>
      <w:marRight w:val="0"/>
      <w:marTop w:val="0"/>
      <w:marBottom w:val="0"/>
      <w:divBdr>
        <w:top w:val="none" w:sz="0" w:space="0" w:color="auto"/>
        <w:left w:val="none" w:sz="0" w:space="0" w:color="auto"/>
        <w:bottom w:val="none" w:sz="0" w:space="0" w:color="auto"/>
        <w:right w:val="none" w:sz="0" w:space="0" w:color="auto"/>
      </w:divBdr>
    </w:div>
    <w:div w:id="437409494">
      <w:bodyDiv w:val="1"/>
      <w:marLeft w:val="0"/>
      <w:marRight w:val="0"/>
      <w:marTop w:val="0"/>
      <w:marBottom w:val="0"/>
      <w:divBdr>
        <w:top w:val="none" w:sz="0" w:space="0" w:color="auto"/>
        <w:left w:val="none" w:sz="0" w:space="0" w:color="auto"/>
        <w:bottom w:val="none" w:sz="0" w:space="0" w:color="auto"/>
        <w:right w:val="none" w:sz="0" w:space="0" w:color="auto"/>
      </w:divBdr>
    </w:div>
    <w:div w:id="572088341">
      <w:bodyDiv w:val="1"/>
      <w:marLeft w:val="0"/>
      <w:marRight w:val="0"/>
      <w:marTop w:val="0"/>
      <w:marBottom w:val="0"/>
      <w:divBdr>
        <w:top w:val="none" w:sz="0" w:space="0" w:color="auto"/>
        <w:left w:val="none" w:sz="0" w:space="0" w:color="auto"/>
        <w:bottom w:val="none" w:sz="0" w:space="0" w:color="auto"/>
        <w:right w:val="none" w:sz="0" w:space="0" w:color="auto"/>
      </w:divBdr>
    </w:div>
    <w:div w:id="855312669">
      <w:bodyDiv w:val="1"/>
      <w:marLeft w:val="0"/>
      <w:marRight w:val="0"/>
      <w:marTop w:val="0"/>
      <w:marBottom w:val="0"/>
      <w:divBdr>
        <w:top w:val="none" w:sz="0" w:space="0" w:color="auto"/>
        <w:left w:val="none" w:sz="0" w:space="0" w:color="auto"/>
        <w:bottom w:val="none" w:sz="0" w:space="0" w:color="auto"/>
        <w:right w:val="none" w:sz="0" w:space="0" w:color="auto"/>
      </w:divBdr>
    </w:div>
    <w:div w:id="875778407">
      <w:bodyDiv w:val="1"/>
      <w:marLeft w:val="0"/>
      <w:marRight w:val="0"/>
      <w:marTop w:val="0"/>
      <w:marBottom w:val="0"/>
      <w:divBdr>
        <w:top w:val="none" w:sz="0" w:space="0" w:color="auto"/>
        <w:left w:val="none" w:sz="0" w:space="0" w:color="auto"/>
        <w:bottom w:val="none" w:sz="0" w:space="0" w:color="auto"/>
        <w:right w:val="none" w:sz="0" w:space="0" w:color="auto"/>
      </w:divBdr>
    </w:div>
    <w:div w:id="985864095">
      <w:bodyDiv w:val="1"/>
      <w:marLeft w:val="0"/>
      <w:marRight w:val="0"/>
      <w:marTop w:val="0"/>
      <w:marBottom w:val="0"/>
      <w:divBdr>
        <w:top w:val="none" w:sz="0" w:space="0" w:color="auto"/>
        <w:left w:val="none" w:sz="0" w:space="0" w:color="auto"/>
        <w:bottom w:val="none" w:sz="0" w:space="0" w:color="auto"/>
        <w:right w:val="none" w:sz="0" w:space="0" w:color="auto"/>
      </w:divBdr>
    </w:div>
    <w:div w:id="1034958559">
      <w:bodyDiv w:val="1"/>
      <w:marLeft w:val="0"/>
      <w:marRight w:val="0"/>
      <w:marTop w:val="0"/>
      <w:marBottom w:val="0"/>
      <w:divBdr>
        <w:top w:val="none" w:sz="0" w:space="0" w:color="auto"/>
        <w:left w:val="none" w:sz="0" w:space="0" w:color="auto"/>
        <w:bottom w:val="none" w:sz="0" w:space="0" w:color="auto"/>
        <w:right w:val="none" w:sz="0" w:space="0" w:color="auto"/>
      </w:divBdr>
    </w:div>
    <w:div w:id="1108164742">
      <w:bodyDiv w:val="1"/>
      <w:marLeft w:val="0"/>
      <w:marRight w:val="0"/>
      <w:marTop w:val="0"/>
      <w:marBottom w:val="0"/>
      <w:divBdr>
        <w:top w:val="none" w:sz="0" w:space="0" w:color="auto"/>
        <w:left w:val="none" w:sz="0" w:space="0" w:color="auto"/>
        <w:bottom w:val="none" w:sz="0" w:space="0" w:color="auto"/>
        <w:right w:val="none" w:sz="0" w:space="0" w:color="auto"/>
      </w:divBdr>
    </w:div>
    <w:div w:id="1170019438">
      <w:bodyDiv w:val="1"/>
      <w:marLeft w:val="0"/>
      <w:marRight w:val="0"/>
      <w:marTop w:val="0"/>
      <w:marBottom w:val="0"/>
      <w:divBdr>
        <w:top w:val="none" w:sz="0" w:space="0" w:color="auto"/>
        <w:left w:val="none" w:sz="0" w:space="0" w:color="auto"/>
        <w:bottom w:val="none" w:sz="0" w:space="0" w:color="auto"/>
        <w:right w:val="none" w:sz="0" w:space="0" w:color="auto"/>
      </w:divBdr>
    </w:div>
    <w:div w:id="1245987923">
      <w:bodyDiv w:val="1"/>
      <w:marLeft w:val="0"/>
      <w:marRight w:val="0"/>
      <w:marTop w:val="0"/>
      <w:marBottom w:val="0"/>
      <w:divBdr>
        <w:top w:val="none" w:sz="0" w:space="0" w:color="auto"/>
        <w:left w:val="none" w:sz="0" w:space="0" w:color="auto"/>
        <w:bottom w:val="none" w:sz="0" w:space="0" w:color="auto"/>
        <w:right w:val="none" w:sz="0" w:space="0" w:color="auto"/>
      </w:divBdr>
    </w:div>
    <w:div w:id="1312716485">
      <w:bodyDiv w:val="1"/>
      <w:marLeft w:val="0"/>
      <w:marRight w:val="0"/>
      <w:marTop w:val="0"/>
      <w:marBottom w:val="0"/>
      <w:divBdr>
        <w:top w:val="none" w:sz="0" w:space="0" w:color="auto"/>
        <w:left w:val="none" w:sz="0" w:space="0" w:color="auto"/>
        <w:bottom w:val="none" w:sz="0" w:space="0" w:color="auto"/>
        <w:right w:val="none" w:sz="0" w:space="0" w:color="auto"/>
      </w:divBdr>
      <w:divsChild>
        <w:div w:id="1808157834">
          <w:marLeft w:val="0"/>
          <w:marRight w:val="0"/>
          <w:marTop w:val="0"/>
          <w:marBottom w:val="0"/>
          <w:divBdr>
            <w:top w:val="none" w:sz="0" w:space="0" w:color="auto"/>
            <w:left w:val="none" w:sz="0" w:space="0" w:color="auto"/>
            <w:bottom w:val="none" w:sz="0" w:space="0" w:color="auto"/>
            <w:right w:val="none" w:sz="0" w:space="0" w:color="auto"/>
          </w:divBdr>
          <w:divsChild>
            <w:div w:id="1560242690">
              <w:marLeft w:val="0"/>
              <w:marRight w:val="0"/>
              <w:marTop w:val="0"/>
              <w:marBottom w:val="0"/>
              <w:divBdr>
                <w:top w:val="none" w:sz="0" w:space="0" w:color="auto"/>
                <w:left w:val="none" w:sz="0" w:space="0" w:color="auto"/>
                <w:bottom w:val="none" w:sz="0" w:space="0" w:color="auto"/>
                <w:right w:val="none" w:sz="0" w:space="0" w:color="auto"/>
              </w:divBdr>
              <w:divsChild>
                <w:div w:id="400951482">
                  <w:marLeft w:val="0"/>
                  <w:marRight w:val="0"/>
                  <w:marTop w:val="0"/>
                  <w:marBottom w:val="0"/>
                  <w:divBdr>
                    <w:top w:val="none" w:sz="0" w:space="0" w:color="auto"/>
                    <w:left w:val="none" w:sz="0" w:space="0" w:color="auto"/>
                    <w:bottom w:val="none" w:sz="0" w:space="0" w:color="auto"/>
                    <w:right w:val="none" w:sz="0" w:space="0" w:color="auto"/>
                  </w:divBdr>
                  <w:divsChild>
                    <w:div w:id="2108577799">
                      <w:marLeft w:val="0"/>
                      <w:marRight w:val="0"/>
                      <w:marTop w:val="120"/>
                      <w:marBottom w:val="0"/>
                      <w:divBdr>
                        <w:top w:val="none" w:sz="0" w:space="0" w:color="auto"/>
                        <w:left w:val="none" w:sz="0" w:space="0" w:color="auto"/>
                        <w:bottom w:val="none" w:sz="0" w:space="0" w:color="auto"/>
                        <w:right w:val="none" w:sz="0" w:space="0" w:color="auto"/>
                      </w:divBdr>
                      <w:divsChild>
                        <w:div w:id="598098191">
                          <w:marLeft w:val="0"/>
                          <w:marRight w:val="0"/>
                          <w:marTop w:val="0"/>
                          <w:marBottom w:val="0"/>
                          <w:divBdr>
                            <w:top w:val="none" w:sz="0" w:space="0" w:color="auto"/>
                            <w:left w:val="none" w:sz="0" w:space="0" w:color="auto"/>
                            <w:bottom w:val="none" w:sz="0" w:space="0" w:color="auto"/>
                            <w:right w:val="none" w:sz="0" w:space="0" w:color="auto"/>
                          </w:divBdr>
                          <w:divsChild>
                            <w:div w:id="8461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00143">
          <w:marLeft w:val="0"/>
          <w:marRight w:val="0"/>
          <w:marTop w:val="0"/>
          <w:marBottom w:val="0"/>
          <w:divBdr>
            <w:top w:val="none" w:sz="0" w:space="0" w:color="auto"/>
            <w:left w:val="none" w:sz="0" w:space="0" w:color="auto"/>
            <w:bottom w:val="none" w:sz="0" w:space="0" w:color="auto"/>
            <w:right w:val="none" w:sz="0" w:space="0" w:color="auto"/>
          </w:divBdr>
          <w:divsChild>
            <w:div w:id="1709068435">
              <w:marLeft w:val="0"/>
              <w:marRight w:val="0"/>
              <w:marTop w:val="0"/>
              <w:marBottom w:val="0"/>
              <w:divBdr>
                <w:top w:val="none" w:sz="0" w:space="0" w:color="auto"/>
                <w:left w:val="none" w:sz="0" w:space="0" w:color="auto"/>
                <w:bottom w:val="none" w:sz="0" w:space="0" w:color="auto"/>
                <w:right w:val="none" w:sz="0" w:space="0" w:color="auto"/>
              </w:divBdr>
              <w:divsChild>
                <w:div w:id="592517264">
                  <w:marLeft w:val="0"/>
                  <w:marRight w:val="0"/>
                  <w:marTop w:val="0"/>
                  <w:marBottom w:val="0"/>
                  <w:divBdr>
                    <w:top w:val="none" w:sz="0" w:space="0" w:color="auto"/>
                    <w:left w:val="none" w:sz="0" w:space="0" w:color="auto"/>
                    <w:bottom w:val="none" w:sz="0" w:space="0" w:color="auto"/>
                    <w:right w:val="none" w:sz="0" w:space="0" w:color="auto"/>
                  </w:divBdr>
                  <w:divsChild>
                    <w:div w:id="518853641">
                      <w:marLeft w:val="0"/>
                      <w:marRight w:val="0"/>
                      <w:marTop w:val="0"/>
                      <w:marBottom w:val="0"/>
                      <w:divBdr>
                        <w:top w:val="none" w:sz="0" w:space="0" w:color="auto"/>
                        <w:left w:val="none" w:sz="0" w:space="0" w:color="auto"/>
                        <w:bottom w:val="none" w:sz="0" w:space="0" w:color="auto"/>
                        <w:right w:val="none" w:sz="0" w:space="0" w:color="auto"/>
                      </w:divBdr>
                      <w:divsChild>
                        <w:div w:id="1465348166">
                          <w:marLeft w:val="0"/>
                          <w:marRight w:val="0"/>
                          <w:marTop w:val="0"/>
                          <w:marBottom w:val="0"/>
                          <w:divBdr>
                            <w:top w:val="none" w:sz="0" w:space="0" w:color="auto"/>
                            <w:left w:val="none" w:sz="0" w:space="0" w:color="auto"/>
                            <w:bottom w:val="none" w:sz="0" w:space="0" w:color="auto"/>
                            <w:right w:val="none" w:sz="0" w:space="0" w:color="auto"/>
                          </w:divBdr>
                          <w:divsChild>
                            <w:div w:id="14687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075572">
      <w:bodyDiv w:val="1"/>
      <w:marLeft w:val="0"/>
      <w:marRight w:val="0"/>
      <w:marTop w:val="0"/>
      <w:marBottom w:val="0"/>
      <w:divBdr>
        <w:top w:val="none" w:sz="0" w:space="0" w:color="auto"/>
        <w:left w:val="none" w:sz="0" w:space="0" w:color="auto"/>
        <w:bottom w:val="none" w:sz="0" w:space="0" w:color="auto"/>
        <w:right w:val="none" w:sz="0" w:space="0" w:color="auto"/>
      </w:divBdr>
      <w:divsChild>
        <w:div w:id="1811173537">
          <w:marLeft w:val="0"/>
          <w:marRight w:val="0"/>
          <w:marTop w:val="0"/>
          <w:marBottom w:val="0"/>
          <w:divBdr>
            <w:top w:val="none" w:sz="0" w:space="0" w:color="auto"/>
            <w:left w:val="none" w:sz="0" w:space="0" w:color="auto"/>
            <w:bottom w:val="none" w:sz="0" w:space="0" w:color="auto"/>
            <w:right w:val="none" w:sz="0" w:space="0" w:color="auto"/>
          </w:divBdr>
          <w:divsChild>
            <w:div w:id="1074737505">
              <w:marLeft w:val="0"/>
              <w:marRight w:val="0"/>
              <w:marTop w:val="0"/>
              <w:marBottom w:val="0"/>
              <w:divBdr>
                <w:top w:val="none" w:sz="0" w:space="0" w:color="auto"/>
                <w:left w:val="none" w:sz="0" w:space="0" w:color="auto"/>
                <w:bottom w:val="none" w:sz="0" w:space="0" w:color="auto"/>
                <w:right w:val="none" w:sz="0" w:space="0" w:color="auto"/>
              </w:divBdr>
              <w:divsChild>
                <w:div w:id="1831410034">
                  <w:marLeft w:val="0"/>
                  <w:marRight w:val="0"/>
                  <w:marTop w:val="0"/>
                  <w:marBottom w:val="0"/>
                  <w:divBdr>
                    <w:top w:val="none" w:sz="0" w:space="0" w:color="auto"/>
                    <w:left w:val="none" w:sz="0" w:space="0" w:color="auto"/>
                    <w:bottom w:val="none" w:sz="0" w:space="0" w:color="auto"/>
                    <w:right w:val="none" w:sz="0" w:space="0" w:color="auto"/>
                  </w:divBdr>
                  <w:divsChild>
                    <w:div w:id="962149410">
                      <w:marLeft w:val="0"/>
                      <w:marRight w:val="0"/>
                      <w:marTop w:val="120"/>
                      <w:marBottom w:val="0"/>
                      <w:divBdr>
                        <w:top w:val="none" w:sz="0" w:space="0" w:color="auto"/>
                        <w:left w:val="none" w:sz="0" w:space="0" w:color="auto"/>
                        <w:bottom w:val="none" w:sz="0" w:space="0" w:color="auto"/>
                        <w:right w:val="none" w:sz="0" w:space="0" w:color="auto"/>
                      </w:divBdr>
                      <w:divsChild>
                        <w:div w:id="162136586">
                          <w:marLeft w:val="0"/>
                          <w:marRight w:val="0"/>
                          <w:marTop w:val="0"/>
                          <w:marBottom w:val="0"/>
                          <w:divBdr>
                            <w:top w:val="none" w:sz="0" w:space="0" w:color="auto"/>
                            <w:left w:val="none" w:sz="0" w:space="0" w:color="auto"/>
                            <w:bottom w:val="none" w:sz="0" w:space="0" w:color="auto"/>
                            <w:right w:val="none" w:sz="0" w:space="0" w:color="auto"/>
                          </w:divBdr>
                          <w:divsChild>
                            <w:div w:id="11433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3140">
          <w:marLeft w:val="0"/>
          <w:marRight w:val="0"/>
          <w:marTop w:val="0"/>
          <w:marBottom w:val="0"/>
          <w:divBdr>
            <w:top w:val="none" w:sz="0" w:space="0" w:color="auto"/>
            <w:left w:val="none" w:sz="0" w:space="0" w:color="auto"/>
            <w:bottom w:val="none" w:sz="0" w:space="0" w:color="auto"/>
            <w:right w:val="none" w:sz="0" w:space="0" w:color="auto"/>
          </w:divBdr>
          <w:divsChild>
            <w:div w:id="2048603363">
              <w:marLeft w:val="0"/>
              <w:marRight w:val="0"/>
              <w:marTop w:val="0"/>
              <w:marBottom w:val="0"/>
              <w:divBdr>
                <w:top w:val="none" w:sz="0" w:space="0" w:color="auto"/>
                <w:left w:val="none" w:sz="0" w:space="0" w:color="auto"/>
                <w:bottom w:val="none" w:sz="0" w:space="0" w:color="auto"/>
                <w:right w:val="none" w:sz="0" w:space="0" w:color="auto"/>
              </w:divBdr>
              <w:divsChild>
                <w:div w:id="1023554643">
                  <w:marLeft w:val="0"/>
                  <w:marRight w:val="0"/>
                  <w:marTop w:val="0"/>
                  <w:marBottom w:val="0"/>
                  <w:divBdr>
                    <w:top w:val="none" w:sz="0" w:space="0" w:color="auto"/>
                    <w:left w:val="none" w:sz="0" w:space="0" w:color="auto"/>
                    <w:bottom w:val="none" w:sz="0" w:space="0" w:color="auto"/>
                    <w:right w:val="none" w:sz="0" w:space="0" w:color="auto"/>
                  </w:divBdr>
                  <w:divsChild>
                    <w:div w:id="810025956">
                      <w:marLeft w:val="0"/>
                      <w:marRight w:val="0"/>
                      <w:marTop w:val="0"/>
                      <w:marBottom w:val="0"/>
                      <w:divBdr>
                        <w:top w:val="none" w:sz="0" w:space="0" w:color="auto"/>
                        <w:left w:val="none" w:sz="0" w:space="0" w:color="auto"/>
                        <w:bottom w:val="none" w:sz="0" w:space="0" w:color="auto"/>
                        <w:right w:val="none" w:sz="0" w:space="0" w:color="auto"/>
                      </w:divBdr>
                      <w:divsChild>
                        <w:div w:id="1547839136">
                          <w:marLeft w:val="0"/>
                          <w:marRight w:val="0"/>
                          <w:marTop w:val="0"/>
                          <w:marBottom w:val="0"/>
                          <w:divBdr>
                            <w:top w:val="none" w:sz="0" w:space="0" w:color="auto"/>
                            <w:left w:val="none" w:sz="0" w:space="0" w:color="auto"/>
                            <w:bottom w:val="none" w:sz="0" w:space="0" w:color="auto"/>
                            <w:right w:val="none" w:sz="0" w:space="0" w:color="auto"/>
                          </w:divBdr>
                          <w:divsChild>
                            <w:div w:id="1541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3</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 Uppalapati</dc:creator>
  <cp:keywords/>
  <dc:description/>
  <cp:lastModifiedBy>Jithendra Uppalapati</cp:lastModifiedBy>
  <cp:revision>9</cp:revision>
  <dcterms:created xsi:type="dcterms:W3CDTF">2024-12-08T23:41:00Z</dcterms:created>
  <dcterms:modified xsi:type="dcterms:W3CDTF">2024-12-14T21:04:00Z</dcterms:modified>
</cp:coreProperties>
</file>