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0BD6" w:rsidRPr="006453D9" w:rsidRDefault="00FF0BD6" w:rsidP="00FF0BD6">
      <w:pPr>
        <w:pStyle w:val="MDPI11articletype"/>
      </w:pPr>
    </w:p>
    <w:p w:rsidR="00FF0BD6" w:rsidRPr="003B1AF1" w:rsidRDefault="00D2745E" w:rsidP="00FF0BD6">
      <w:pPr>
        <w:pStyle w:val="MDPI12title"/>
      </w:pPr>
      <w:r>
        <w:t>Predictive Modeling of In Hospital Mortality followed by Elective Surgery</w:t>
      </w:r>
    </w:p>
    <w:tbl>
      <w:tblPr>
        <w:tblpPr w:leftFromText="198" w:rightFromText="198" w:vertAnchor="page" w:horzAnchor="margin" w:tblpY="3892"/>
        <w:tblW w:w="2410" w:type="dxa"/>
        <w:tblLayout w:type="fixed"/>
        <w:tblCellMar>
          <w:left w:w="0" w:type="dxa"/>
          <w:right w:w="0" w:type="dxa"/>
        </w:tblCellMar>
        <w:tblLook w:val="04A0" w:firstRow="1" w:lastRow="0" w:firstColumn="1" w:lastColumn="0" w:noHBand="0" w:noVBand="1"/>
      </w:tblPr>
      <w:tblGrid>
        <w:gridCol w:w="2410"/>
      </w:tblGrid>
      <w:tr w:rsidR="00452902" w:rsidRPr="008C41A6" w:rsidTr="00452902">
        <w:tc>
          <w:tcPr>
            <w:tcW w:w="2410" w:type="dxa"/>
            <w:shd w:val="clear" w:color="auto" w:fill="auto"/>
          </w:tcPr>
          <w:p w:rsidR="00452902" w:rsidRPr="00F244AB" w:rsidRDefault="00452902" w:rsidP="00452902">
            <w:pPr>
              <w:pStyle w:val="MDPI61Citation"/>
              <w:spacing w:after="120" w:line="240" w:lineRule="exact"/>
            </w:pPr>
            <w:r w:rsidRPr="001A242A">
              <w:rPr>
                <w:b/>
              </w:rPr>
              <w:t>Citation:</w:t>
            </w:r>
            <w:r>
              <w:rPr>
                <w:b/>
              </w:rPr>
              <w:t xml:space="preserve"> </w:t>
            </w:r>
            <w:r>
              <w:t>To be added by editorial staff during production.</w:t>
            </w:r>
          </w:p>
          <w:p w:rsidR="00452902" w:rsidRDefault="00452902" w:rsidP="00452902">
            <w:pPr>
              <w:pStyle w:val="MDPI14history"/>
              <w:spacing w:before="120" w:after="120"/>
              <w:rPr>
                <w:rFonts w:ascii="SimSun" w:eastAsia="SimSun" w:hAnsi="SimSun" w:cs="SimSun"/>
                <w:lang w:eastAsia="zh-CN"/>
              </w:rPr>
            </w:pPr>
            <w:r>
              <w:t xml:space="preserve">Academic Editor: </w:t>
            </w:r>
            <w:r w:rsidRPr="00562097">
              <w:t>Firstname Lastname</w:t>
            </w:r>
          </w:p>
          <w:p w:rsidR="00452902" w:rsidRPr="00D30D71" w:rsidRDefault="00452902" w:rsidP="00452902">
            <w:pPr>
              <w:pStyle w:val="MDPI14history"/>
              <w:spacing w:before="120"/>
              <w:rPr>
                <w:rFonts w:ascii="SimSun" w:eastAsia="SimSun" w:hAnsi="SimSun" w:cs="SimSun"/>
              </w:rPr>
            </w:pPr>
            <w:r w:rsidRPr="00550626">
              <w:rPr>
                <w:szCs w:val="14"/>
              </w:rPr>
              <w:t xml:space="preserve">Received: </w:t>
            </w:r>
            <w:r w:rsidRPr="00D945EC">
              <w:rPr>
                <w:szCs w:val="14"/>
              </w:rPr>
              <w:t>date</w:t>
            </w:r>
          </w:p>
          <w:p w:rsidR="00452902" w:rsidRDefault="00452902" w:rsidP="00452902">
            <w:pPr>
              <w:pStyle w:val="MDPI14history"/>
              <w:rPr>
                <w:szCs w:val="14"/>
              </w:rPr>
            </w:pPr>
            <w:r>
              <w:rPr>
                <w:szCs w:val="14"/>
              </w:rPr>
              <w:t>Revised: date</w:t>
            </w:r>
          </w:p>
          <w:p w:rsidR="00452902" w:rsidRPr="00550626" w:rsidRDefault="00452902" w:rsidP="00452902">
            <w:pPr>
              <w:pStyle w:val="MDPI14history"/>
              <w:rPr>
                <w:szCs w:val="14"/>
              </w:rPr>
            </w:pPr>
            <w:r>
              <w:rPr>
                <w:szCs w:val="14"/>
              </w:rPr>
              <w:t>Accepted: date</w:t>
            </w:r>
          </w:p>
          <w:p w:rsidR="00452902" w:rsidRPr="00550626" w:rsidRDefault="00452902" w:rsidP="00452902">
            <w:pPr>
              <w:pStyle w:val="MDPI14history"/>
              <w:spacing w:after="120"/>
              <w:rPr>
                <w:szCs w:val="14"/>
              </w:rPr>
            </w:pPr>
            <w:r w:rsidRPr="00550626">
              <w:rPr>
                <w:szCs w:val="14"/>
              </w:rPr>
              <w:t xml:space="preserve">Published: </w:t>
            </w:r>
            <w:r w:rsidRPr="00D945EC">
              <w:rPr>
                <w:szCs w:val="14"/>
              </w:rPr>
              <w:t>date</w:t>
            </w:r>
          </w:p>
          <w:p w:rsidR="00452902" w:rsidRPr="008C41A6" w:rsidRDefault="00452902" w:rsidP="00452902">
            <w:pPr>
              <w:adjustRightInd w:val="0"/>
              <w:snapToGrid w:val="0"/>
              <w:spacing w:before="120" w:line="240" w:lineRule="atLeast"/>
              <w:ind w:right="113"/>
              <w:jc w:val="left"/>
              <w:rPr>
                <w:rFonts w:eastAsia="DengXian"/>
                <w:bCs/>
                <w:sz w:val="14"/>
                <w:szCs w:val="14"/>
                <w:lang w:bidi="en-US"/>
              </w:rPr>
            </w:pPr>
            <w:r w:rsidRPr="008C41A6">
              <w:rPr>
                <w:rFonts w:eastAsia="DengXian"/>
              </w:rPr>
              <w:drawing>
                <wp:inline distT="0" distB="0" distL="0" distR="0" wp14:anchorId="094DA2A3" wp14:editId="0264EB7C">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452902" w:rsidRPr="008C41A6" w:rsidRDefault="00452902" w:rsidP="00452902">
            <w:pPr>
              <w:pStyle w:val="MDPI72Copyright"/>
              <w:rPr>
                <w:rFonts w:eastAsia="DengXian"/>
                <w:lang w:bidi="en-US"/>
              </w:rPr>
            </w:pPr>
            <w:r w:rsidRPr="008C41A6">
              <w:rPr>
                <w:rFonts w:eastAsia="DengXian"/>
                <w:b/>
                <w:lang w:bidi="en-US"/>
              </w:rPr>
              <w:t>Copyright:</w:t>
            </w:r>
            <w:r w:rsidRPr="008C41A6">
              <w:rPr>
                <w:rFonts w:eastAsia="DengXian"/>
                <w:lang w:bidi="en-US"/>
              </w:rPr>
              <w:t xml:space="preserve"> </w:t>
            </w:r>
            <w:r>
              <w:rPr>
                <w:rFonts w:eastAsia="DengXian"/>
                <w:lang w:bidi="en-US"/>
              </w:rPr>
              <w:t xml:space="preserve">© 2024 by the authors. Submitted for possible open access publication under the terms and conditions of the Creative Commons </w:t>
            </w:r>
            <w:r w:rsidRPr="008C41A6">
              <w:rPr>
                <w:rFonts w:eastAsia="DengXian"/>
                <w:lang w:bidi="en-US"/>
              </w:rPr>
              <w:t>Attribution (CC BY) license (</w:t>
            </w:r>
            <w:r>
              <w:rPr>
                <w:rFonts w:eastAsia="DengXian"/>
                <w:lang w:bidi="en-US"/>
              </w:rPr>
              <w:t>https://</w:t>
            </w:r>
            <w:r w:rsidRPr="008C41A6">
              <w:rPr>
                <w:rFonts w:eastAsia="DengXian"/>
                <w:lang w:bidi="en-US"/>
              </w:rPr>
              <w:t>creativecommons.org/licenses/by/4.0/).</w:t>
            </w:r>
          </w:p>
        </w:tc>
      </w:tr>
    </w:tbl>
    <w:p w:rsidR="00C34BE3" w:rsidRDefault="00452902" w:rsidP="00FF0BD6">
      <w:pPr>
        <w:pStyle w:val="MDPI13authornames"/>
      </w:pPr>
      <w:r>
        <w:t xml:space="preserve"> </w:t>
      </w:r>
      <w:r w:rsidR="00D2745E">
        <w:t>Jahnavi</w:t>
      </w:r>
      <w:r w:rsidR="00FF0BD6" w:rsidRPr="00D945EC">
        <w:t xml:space="preserve"> </w:t>
      </w:r>
      <w:r w:rsidR="00D2745E">
        <w:t>Jammula</w:t>
      </w:r>
      <w:r w:rsidR="00FF0BD6" w:rsidRPr="00D945EC">
        <w:t xml:space="preserve">, </w:t>
      </w:r>
      <w:r w:rsidR="00D2745E">
        <w:t>Jithendra</w:t>
      </w:r>
      <w:r w:rsidR="00FF0BD6" w:rsidRPr="00D945EC">
        <w:t xml:space="preserve"> </w:t>
      </w:r>
      <w:r w:rsidR="00D2745E">
        <w:t>U</w:t>
      </w:r>
      <w:r>
        <w:t>p</w:t>
      </w:r>
      <w:r w:rsidR="00D2745E">
        <w:t>palapati</w:t>
      </w:r>
      <w:r w:rsidR="00FF0BD6" w:rsidRPr="00D945EC">
        <w:t xml:space="preserve"> and </w:t>
      </w:r>
      <w:r w:rsidR="00D2745E">
        <w:t>Navanth</w:t>
      </w:r>
      <w:r w:rsidR="00FF0BD6" w:rsidRPr="00D945EC">
        <w:t xml:space="preserve"> </w:t>
      </w:r>
      <w:r w:rsidR="00D2745E">
        <w:t>Velagaturi</w:t>
      </w:r>
    </w:p>
    <w:p w:rsidR="00FF0BD6" w:rsidRPr="00D945EC" w:rsidRDefault="00457A76" w:rsidP="00FF0BD6">
      <w:pPr>
        <w:pStyle w:val="MDPI16affiliation"/>
      </w:pPr>
      <w:r w:rsidRPr="00457A76">
        <w:rPr>
          <w:vertAlign w:val="superscript"/>
        </w:rPr>
        <w:t>1</w:t>
      </w:r>
      <w:r w:rsidR="00FF0BD6" w:rsidRPr="00D945EC">
        <w:tab/>
        <w:t>Affiliation 1</w:t>
      </w:r>
      <w:r w:rsidR="007B6C39">
        <w:t>: Department of Data Science, Saint Peters University</w:t>
      </w:r>
      <w:r w:rsidR="007B6C39">
        <w:br/>
        <w:t>jjammula@saintpeters.edu</w:t>
      </w:r>
    </w:p>
    <w:p w:rsidR="00FF0BD6" w:rsidRPr="00D945EC" w:rsidRDefault="00FF0BD6" w:rsidP="00FF0BD6">
      <w:pPr>
        <w:pStyle w:val="MDPI16affiliation"/>
      </w:pPr>
      <w:r w:rsidRPr="00D945EC">
        <w:rPr>
          <w:vertAlign w:val="superscript"/>
        </w:rPr>
        <w:t>2</w:t>
      </w:r>
      <w:r w:rsidRPr="00D945EC">
        <w:tab/>
        <w:t>Affiliation 2</w:t>
      </w:r>
      <w:r w:rsidR="007B6C39">
        <w:t>: Department of Data Science, Saint Peters University</w:t>
      </w:r>
      <w:r w:rsidR="007B6C39">
        <w:br/>
        <w:t>juppalapati@saintpeters.edu</w:t>
      </w:r>
    </w:p>
    <w:p w:rsidR="00FF0BD6" w:rsidRPr="00550626" w:rsidRDefault="00FF0BD6" w:rsidP="00FF0BD6">
      <w:pPr>
        <w:pStyle w:val="MDPI16affiliation"/>
      </w:pPr>
      <w:r w:rsidRPr="00F0572B">
        <w:rPr>
          <w:b/>
        </w:rPr>
        <w:t>*</w:t>
      </w:r>
      <w:r w:rsidRPr="00D945EC">
        <w:tab/>
        <w:t xml:space="preserve">Correspondence: </w:t>
      </w:r>
      <w:r w:rsidR="007B6C39">
        <w:t>svelagaturi</w:t>
      </w:r>
      <w:r w:rsidRPr="00D945EC">
        <w:t>@</w:t>
      </w:r>
      <w:r w:rsidR="007B6C39">
        <w:t>saintpeters.edu</w:t>
      </w:r>
      <w:r w:rsidRPr="00D945EC">
        <w:t>; Tel.:</w:t>
      </w:r>
    </w:p>
    <w:p w:rsidR="00DC4E4E" w:rsidRDefault="00DC4E4E" w:rsidP="00DC4E4E">
      <w:pPr>
        <w:pStyle w:val="MDPI17abstract"/>
        <w:rPr>
          <w:b/>
        </w:rPr>
      </w:pPr>
      <w:r w:rsidRPr="00192F81">
        <w:rPr>
          <w:b/>
        </w:rPr>
        <w:t xml:space="preserve">Featured Application: </w:t>
      </w:r>
      <w:r w:rsidR="00145C6C">
        <w:rPr>
          <w:b/>
        </w:rPr>
        <w:t>This study introduces a machine learning based framework for predicting in-hospital mortality risk following elective surgeries. The findings can be used to identify the underlying causes, help clinical decision making &amp; post operative care strategies.</w:t>
      </w:r>
    </w:p>
    <w:p w:rsidR="00E40A2D" w:rsidRDefault="00FF0BD6" w:rsidP="0041751D">
      <w:pPr>
        <w:pStyle w:val="MDPI17abstract"/>
        <w:rPr>
          <w:bCs/>
          <w:szCs w:val="18"/>
        </w:rPr>
      </w:pPr>
      <w:r w:rsidRPr="00550626">
        <w:rPr>
          <w:b/>
          <w:szCs w:val="18"/>
        </w:rPr>
        <w:t>Abstract:</w:t>
      </w:r>
      <w:r w:rsidR="00145C6C">
        <w:rPr>
          <w:b/>
          <w:szCs w:val="18"/>
        </w:rPr>
        <w:t xml:space="preserve"> </w:t>
      </w:r>
      <w:r w:rsidR="00E40A2D">
        <w:rPr>
          <w:bCs/>
          <w:szCs w:val="18"/>
        </w:rPr>
        <w:t>Identifying patients at high risk of in-hospital mortality is crucial for improving patient outcomes.</w:t>
      </w:r>
      <w:r w:rsidR="00E40A2D">
        <w:rPr>
          <w:bCs/>
          <w:szCs w:val="18"/>
        </w:rPr>
        <w:br/>
        <w:t xml:space="preserve">This study developed and evaluated predictive models using logistic regression, random forest classifier, support vector machine and k nearest neighbors on a dataset containing Facility address, state, what complications, surgery-related features. </w:t>
      </w:r>
      <w:r w:rsidR="0041751D">
        <w:rPr>
          <w:bCs/>
          <w:szCs w:val="18"/>
        </w:rPr>
        <w:t xml:space="preserve">The models were applied on this selected dataset with those features. </w:t>
      </w:r>
      <w:r w:rsidR="0041751D">
        <w:rPr>
          <w:bCs/>
          <w:szCs w:val="18"/>
        </w:rPr>
        <w:br/>
        <w:t xml:space="preserve">Among the models, </w:t>
      </w:r>
      <w:r w:rsidR="000D3574">
        <w:rPr>
          <w:bCs/>
          <w:szCs w:val="18"/>
        </w:rPr>
        <w:t>Random Forest</w:t>
      </w:r>
      <w:r w:rsidR="0041751D">
        <w:rPr>
          <w:bCs/>
          <w:szCs w:val="18"/>
        </w:rPr>
        <w:t xml:space="preserve"> </w:t>
      </w:r>
      <w:r w:rsidR="000D3574">
        <w:rPr>
          <w:bCs/>
          <w:szCs w:val="18"/>
        </w:rPr>
        <w:t>C</w:t>
      </w:r>
      <w:r w:rsidR="0041751D">
        <w:rPr>
          <w:bCs/>
          <w:szCs w:val="18"/>
        </w:rPr>
        <w:t xml:space="preserve">lassifier demonstrated the highest performance with an, followed by logistic regression. Key measure ID including Score, Lower and higher estimate. </w:t>
      </w:r>
      <w:r w:rsidR="0041751D">
        <w:rPr>
          <w:bCs/>
          <w:szCs w:val="18"/>
        </w:rPr>
        <w:br/>
        <w:t xml:space="preserve">The proposed machine learning framework effectively predicts mortality risk, enabling targeted interventions.  </w:t>
      </w:r>
      <w:r w:rsidR="00E40A2D">
        <w:rPr>
          <w:bCs/>
          <w:szCs w:val="18"/>
        </w:rPr>
        <w:t xml:space="preserve">  </w:t>
      </w:r>
    </w:p>
    <w:p w:rsidR="00FF0BD6" w:rsidRPr="00550626" w:rsidRDefault="00FF0BD6" w:rsidP="00FF0BD6">
      <w:pPr>
        <w:pStyle w:val="MDPI18keywords"/>
        <w:rPr>
          <w:szCs w:val="18"/>
        </w:rPr>
      </w:pPr>
      <w:r w:rsidRPr="00550626">
        <w:rPr>
          <w:b/>
          <w:szCs w:val="18"/>
        </w:rPr>
        <w:t xml:space="preserve">Keywords: </w:t>
      </w:r>
      <w:r w:rsidR="008B3639">
        <w:rPr>
          <w:szCs w:val="18"/>
        </w:rPr>
        <w:t>In-Hospital Mortality</w:t>
      </w:r>
      <w:r w:rsidRPr="00D945EC">
        <w:rPr>
          <w:szCs w:val="18"/>
        </w:rPr>
        <w:t xml:space="preserve">; </w:t>
      </w:r>
      <w:r w:rsidR="008B3639">
        <w:rPr>
          <w:szCs w:val="18"/>
        </w:rPr>
        <w:t>Elective surgery</w:t>
      </w:r>
      <w:r w:rsidRPr="00D945EC">
        <w:rPr>
          <w:szCs w:val="18"/>
        </w:rPr>
        <w:t xml:space="preserve">; </w:t>
      </w:r>
      <w:r w:rsidR="008B3639">
        <w:rPr>
          <w:szCs w:val="18"/>
        </w:rPr>
        <w:t>predictive modeling</w:t>
      </w:r>
      <w:r w:rsidRPr="00D945EC">
        <w:rPr>
          <w:szCs w:val="18"/>
        </w:rPr>
        <w:t xml:space="preserve"> </w:t>
      </w:r>
    </w:p>
    <w:p w:rsidR="00FF0BD6" w:rsidRPr="00550626" w:rsidRDefault="00FF0BD6" w:rsidP="00FF0BD6">
      <w:pPr>
        <w:pStyle w:val="MDPI19line"/>
      </w:pPr>
    </w:p>
    <w:p w:rsidR="00FF0BD6" w:rsidRDefault="00FF0BD6" w:rsidP="000D3574">
      <w:pPr>
        <w:pStyle w:val="MDPI21heading1"/>
        <w:rPr>
          <w:lang w:eastAsia="zh-CN"/>
        </w:rPr>
      </w:pPr>
      <w:r w:rsidRPr="007F2582">
        <w:rPr>
          <w:lang w:eastAsia="zh-CN"/>
        </w:rPr>
        <w:t>1. Introduction</w:t>
      </w:r>
    </w:p>
    <w:p w:rsidR="00FF0BD6" w:rsidRDefault="000D3574" w:rsidP="00205AE5">
      <w:pPr>
        <w:pStyle w:val="MDPI31text"/>
        <w:rPr>
          <w:szCs w:val="20"/>
        </w:rPr>
      </w:pPr>
      <w:r>
        <w:t xml:space="preserve">Elective surgeries are common procedures that require precise preoperative assessments to minimize risks, </w:t>
      </w:r>
      <w:r w:rsidRPr="009028E7">
        <w:rPr>
          <w:rFonts w:cstheme="majorHAnsi"/>
          <w:szCs w:val="20"/>
        </w:rPr>
        <w:t>Nathaniel R. Smilowitz</w:t>
      </w:r>
      <w:r w:rsidR="009219B8">
        <w:rPr>
          <w:rFonts w:cstheme="majorHAnsi"/>
          <w:b/>
          <w:bCs/>
          <w:szCs w:val="20"/>
        </w:rPr>
        <w:t xml:space="preserve"> </w:t>
      </w:r>
      <w:r w:rsidR="009219B8" w:rsidRPr="009219B8">
        <w:rPr>
          <w:rFonts w:cstheme="majorHAnsi"/>
          <w:szCs w:val="20"/>
        </w:rPr>
        <w:t>[1]</w:t>
      </w:r>
      <w:r w:rsidRPr="000D3574">
        <w:rPr>
          <w:rFonts w:cstheme="majorHAnsi"/>
          <w:szCs w:val="20"/>
        </w:rPr>
        <w:t xml:space="preserve"> research says that Heart failure (HR)</w:t>
      </w:r>
      <w:r>
        <w:rPr>
          <w:rFonts w:cstheme="majorHAnsi"/>
          <w:szCs w:val="20"/>
        </w:rPr>
        <w:t xml:space="preserve"> </w:t>
      </w:r>
      <w:r w:rsidRPr="000D3574">
        <w:rPr>
          <w:rFonts w:cstheme="majorHAnsi"/>
          <w:szCs w:val="20"/>
        </w:rPr>
        <w:t>is associated with increased risk of complications after non-cardiac surgery</w:t>
      </w:r>
      <w:r>
        <w:rPr>
          <w:rFonts w:cstheme="majorHAnsi"/>
          <w:szCs w:val="20"/>
        </w:rPr>
        <w:t xml:space="preserve">. </w:t>
      </w:r>
      <w:r w:rsidR="009219B8" w:rsidRPr="009028E7">
        <w:rPr>
          <w:szCs w:val="20"/>
        </w:rPr>
        <w:t>Miyake et al.</w:t>
      </w:r>
      <w:r w:rsidR="009219B8">
        <w:rPr>
          <w:b/>
          <w:bCs/>
          <w:szCs w:val="20"/>
        </w:rPr>
        <w:t xml:space="preserve"> </w:t>
      </w:r>
      <w:r w:rsidR="009219B8" w:rsidRPr="009219B8">
        <w:rPr>
          <w:szCs w:val="20"/>
        </w:rPr>
        <w:t>[2]</w:t>
      </w:r>
      <w:r w:rsidR="009219B8" w:rsidRPr="009219B8">
        <w:rPr>
          <w:b/>
          <w:bCs/>
          <w:szCs w:val="20"/>
        </w:rPr>
        <w:t xml:space="preserve"> </w:t>
      </w:r>
      <w:r w:rsidR="009219B8" w:rsidRPr="009219B8">
        <w:rPr>
          <w:szCs w:val="20"/>
        </w:rPr>
        <w:t>study found that patients with pre-operative AKI</w:t>
      </w:r>
      <w:r w:rsidR="009219B8">
        <w:rPr>
          <w:szCs w:val="20"/>
        </w:rPr>
        <w:t xml:space="preserve"> (Acute Kidney Injury)</w:t>
      </w:r>
      <w:r w:rsidR="009219B8" w:rsidRPr="009219B8">
        <w:rPr>
          <w:szCs w:val="20"/>
        </w:rPr>
        <w:t xml:space="preserve"> had significantly increased mortality regardless of CKD</w:t>
      </w:r>
      <w:r w:rsidR="009219B8">
        <w:rPr>
          <w:szCs w:val="20"/>
        </w:rPr>
        <w:t xml:space="preserve"> (chronic kidney disease)</w:t>
      </w:r>
      <w:r w:rsidR="009219B8" w:rsidRPr="009219B8">
        <w:rPr>
          <w:szCs w:val="20"/>
        </w:rPr>
        <w:t xml:space="preserve"> factors. AKI was associated with increased use of vasoactive drugs, mechanical ventilation, blood transfusions</w:t>
      </w:r>
      <w:r w:rsidR="009219B8">
        <w:rPr>
          <w:szCs w:val="20"/>
        </w:rPr>
        <w:t xml:space="preserve">. </w:t>
      </w:r>
      <w:r w:rsidR="009219B8" w:rsidRPr="009028E7">
        <w:rPr>
          <w:szCs w:val="20"/>
        </w:rPr>
        <w:t>Castro-Dominguez et al.</w:t>
      </w:r>
      <w:r w:rsidR="009219B8" w:rsidRPr="009219B8">
        <w:rPr>
          <w:szCs w:val="20"/>
        </w:rPr>
        <w:t xml:space="preserve"> </w:t>
      </w:r>
      <w:r w:rsidR="009219B8">
        <w:rPr>
          <w:szCs w:val="20"/>
        </w:rPr>
        <w:t xml:space="preserve">[3] </w:t>
      </w:r>
      <w:r w:rsidR="009219B8" w:rsidRPr="009219B8">
        <w:rPr>
          <w:szCs w:val="20"/>
        </w:rPr>
        <w:t>research highlighted the factors like procedural urgency, cardiovascular instability, level of consciousness after cardiac arrest were some of the factors contributing to in hospital mortality</w:t>
      </w:r>
      <w:r w:rsidR="009219B8">
        <w:rPr>
          <w:szCs w:val="20"/>
        </w:rPr>
        <w:t>.</w:t>
      </w:r>
      <w:r w:rsidR="009028E7">
        <w:rPr>
          <w:szCs w:val="20"/>
        </w:rPr>
        <w:t xml:space="preserve"> Our dataset consists of deaths and their </w:t>
      </w:r>
      <w:r w:rsidR="009028E7">
        <w:rPr>
          <w:szCs w:val="20"/>
        </w:rPr>
        <w:lastRenderedPageBreak/>
        <w:t>complications in respective facilities, with this data we</w:t>
      </w:r>
      <w:r w:rsidR="002671CA">
        <w:rPr>
          <w:szCs w:val="20"/>
        </w:rPr>
        <w:t xml:space="preserve"> can</w:t>
      </w:r>
      <w:r w:rsidR="009028E7">
        <w:rPr>
          <w:szCs w:val="20"/>
        </w:rPr>
        <w:t xml:space="preserve"> identify which complications has the highest deaths</w:t>
      </w:r>
      <w:r w:rsidR="002671CA">
        <w:rPr>
          <w:szCs w:val="20"/>
        </w:rPr>
        <w:t>, predicting mortality rate for new patients</w:t>
      </w:r>
      <w:r w:rsidR="009028E7">
        <w:rPr>
          <w:szCs w:val="20"/>
        </w:rPr>
        <w:t xml:space="preserve"> and</w:t>
      </w:r>
      <w:r w:rsidR="002671CA">
        <w:rPr>
          <w:szCs w:val="20"/>
        </w:rPr>
        <w:t xml:space="preserve"> this can provide clinicians with actionable insights. </w:t>
      </w:r>
    </w:p>
    <w:p w:rsidR="00C51207" w:rsidRPr="009219B8" w:rsidRDefault="00C51207" w:rsidP="00205AE5">
      <w:pPr>
        <w:pStyle w:val="MDPI31text"/>
        <w:rPr>
          <w:szCs w:val="20"/>
        </w:rPr>
      </w:pPr>
      <w:r>
        <w:rPr>
          <w:szCs w:val="20"/>
        </w:rPr>
        <w:t>Our dataset contains records of death and complications at many facilities across different states in US. With this data we can identify the highest mortality rates and predict the mortality for the new patients.</w:t>
      </w:r>
    </w:p>
    <w:p w:rsidR="00FF0BD6" w:rsidRPr="00FA04F1" w:rsidRDefault="00FF0BD6" w:rsidP="00FF0BD6">
      <w:pPr>
        <w:pStyle w:val="MDPI21heading1"/>
      </w:pPr>
      <w:r w:rsidRPr="00FA04F1">
        <w:rPr>
          <w:lang w:eastAsia="zh-CN"/>
        </w:rPr>
        <w:t xml:space="preserve">2. </w:t>
      </w:r>
      <w:r w:rsidRPr="00FA04F1">
        <w:t>Materials and Methods</w:t>
      </w:r>
    </w:p>
    <w:p w:rsidR="002671CA" w:rsidRDefault="002671CA" w:rsidP="00B3481C">
      <w:pPr>
        <w:pStyle w:val="MDPI31text"/>
        <w:ind w:firstLine="0"/>
      </w:pPr>
      <w:r>
        <w:t>Data Collection</w:t>
      </w:r>
      <w:r>
        <w:br/>
      </w:r>
      <w:r>
        <w:tab/>
        <w:t xml:space="preserve">The dataset used in this study was obtained from </w:t>
      </w:r>
      <w:hyperlink r:id="rId8" w:history="1">
        <w:r w:rsidRPr="00C50113">
          <w:rPr>
            <w:rStyle w:val="Hyperlink"/>
          </w:rPr>
          <w:t>https://data.cms.gov/provider-data/dataset/ynj2-r877</w:t>
        </w:r>
      </w:hyperlink>
      <w:r>
        <w:t xml:space="preserve"> encompassing 90802 patient records from July 2020 to </w:t>
      </w:r>
      <w:r w:rsidR="0093212C">
        <w:t xml:space="preserve">June 2023. </w:t>
      </w:r>
    </w:p>
    <w:p w:rsidR="00C51207" w:rsidRDefault="0093212C" w:rsidP="00205AE5">
      <w:pPr>
        <w:pStyle w:val="MDPI31text"/>
      </w:pPr>
      <w:r>
        <w:t xml:space="preserve">Each record includes </w:t>
      </w:r>
    </w:p>
    <w:p w:rsidR="00C51207" w:rsidRDefault="0093212C" w:rsidP="00C51207">
      <w:pPr>
        <w:pStyle w:val="MDPI31text"/>
        <w:numPr>
          <w:ilvl w:val="0"/>
          <w:numId w:val="24"/>
        </w:numPr>
      </w:pPr>
      <w:r>
        <w:t>Facility ID, Facility Name, Address, ZIP Code, State, Telephone Number, City, County</w:t>
      </w:r>
    </w:p>
    <w:p w:rsidR="00C51207" w:rsidRDefault="0093212C" w:rsidP="00C51207">
      <w:pPr>
        <w:pStyle w:val="MDPI31text"/>
        <w:numPr>
          <w:ilvl w:val="0"/>
          <w:numId w:val="24"/>
        </w:numPr>
      </w:pPr>
      <w:r>
        <w:t xml:space="preserve">Measure ID (Complication), Measure Name </w:t>
      </w:r>
    </w:p>
    <w:p w:rsidR="00C51207" w:rsidRDefault="0093212C" w:rsidP="00C51207">
      <w:pPr>
        <w:pStyle w:val="MDPI31text"/>
        <w:numPr>
          <w:ilvl w:val="0"/>
          <w:numId w:val="24"/>
        </w:numPr>
      </w:pPr>
      <w:r>
        <w:t>Compared to National, Denominator, Score, Footnote, Lower estimate, Higher Estimate</w:t>
      </w:r>
    </w:p>
    <w:p w:rsidR="0093212C" w:rsidRDefault="0093212C" w:rsidP="00C51207">
      <w:pPr>
        <w:pStyle w:val="MDPI31text"/>
        <w:numPr>
          <w:ilvl w:val="0"/>
          <w:numId w:val="24"/>
        </w:numPr>
      </w:pPr>
      <w:r>
        <w:t xml:space="preserve">Start Date, End Date. </w:t>
      </w:r>
    </w:p>
    <w:p w:rsidR="00E74682" w:rsidRDefault="00E50D51" w:rsidP="00E50D51">
      <w:pPr>
        <w:pStyle w:val="MDPI31text"/>
      </w:pPr>
      <w:r>
        <w:t xml:space="preserve">1. </w:t>
      </w:r>
      <w:r w:rsidR="0093212C">
        <w:t>Data Preprocessing</w:t>
      </w:r>
    </w:p>
    <w:p w:rsidR="00E74682" w:rsidRDefault="00E74682" w:rsidP="00E50D51">
      <w:pPr>
        <w:pStyle w:val="MDPI31text"/>
        <w:numPr>
          <w:ilvl w:val="0"/>
          <w:numId w:val="25"/>
        </w:numPr>
        <w:ind w:left="3930"/>
      </w:pPr>
      <w:r>
        <w:t>Converted columns to appropriate data types</w:t>
      </w:r>
    </w:p>
    <w:p w:rsidR="00E74682" w:rsidRDefault="00E74682" w:rsidP="00E50D51">
      <w:pPr>
        <w:pStyle w:val="MDPI31text"/>
        <w:numPr>
          <w:ilvl w:val="0"/>
          <w:numId w:val="24"/>
        </w:numPr>
        <w:ind w:left="3930"/>
      </w:pPr>
      <w:r>
        <w:t>Dropped irrelevant columns like facility telephone number</w:t>
      </w:r>
    </w:p>
    <w:p w:rsidR="00E74682" w:rsidRDefault="00E74682" w:rsidP="00E50D51">
      <w:pPr>
        <w:pStyle w:val="MDPI31text"/>
        <w:numPr>
          <w:ilvl w:val="0"/>
          <w:numId w:val="24"/>
        </w:numPr>
        <w:ind w:left="3930"/>
      </w:pPr>
      <w:r>
        <w:t xml:space="preserve">Created visualizations for exploratory analysis.  </w:t>
      </w:r>
    </w:p>
    <w:p w:rsidR="00E74682" w:rsidRDefault="00E50D51" w:rsidP="00E74682">
      <w:pPr>
        <w:pStyle w:val="MDPI31text"/>
      </w:pPr>
      <w:r>
        <w:t xml:space="preserve">2. </w:t>
      </w:r>
      <w:r w:rsidR="00B3481C">
        <w:t>Imputation of Missing Values</w:t>
      </w:r>
    </w:p>
    <w:p w:rsidR="00B3481C" w:rsidRDefault="00B3481C" w:rsidP="00E74682">
      <w:pPr>
        <w:pStyle w:val="MDPI31text"/>
        <w:numPr>
          <w:ilvl w:val="0"/>
          <w:numId w:val="26"/>
        </w:numPr>
      </w:pPr>
      <w:r>
        <w:t>We found missing values in denominator, score, lower estimate, higher estimate and replaced them with</w:t>
      </w:r>
      <w:r w:rsidR="00E74682">
        <w:t xml:space="preserve"> their respective</w:t>
      </w:r>
      <w:r>
        <w:t xml:space="preserve"> mean</w:t>
      </w:r>
    </w:p>
    <w:p w:rsidR="00E50D51" w:rsidRDefault="00E50D51" w:rsidP="00E50D51">
      <w:pPr>
        <w:pStyle w:val="MDPI31text"/>
      </w:pPr>
      <w:r>
        <w:t xml:space="preserve">3. </w:t>
      </w:r>
      <w:r w:rsidR="00B3481C">
        <w:t>Feature Engineering</w:t>
      </w:r>
    </w:p>
    <w:p w:rsidR="00E50D51" w:rsidRDefault="00B3481C" w:rsidP="00E50D51">
      <w:pPr>
        <w:pStyle w:val="MDPI31text"/>
        <w:numPr>
          <w:ilvl w:val="0"/>
          <w:numId w:val="26"/>
        </w:numPr>
      </w:pPr>
      <w:r>
        <w:t>Measure duration</w:t>
      </w:r>
      <w:r w:rsidR="00772A13">
        <w:t xml:space="preserve"> (from start and end date) </w:t>
      </w:r>
    </w:p>
    <w:p w:rsidR="00E50D51" w:rsidRDefault="00E50D51" w:rsidP="00E50D51">
      <w:pPr>
        <w:pStyle w:val="MDPI31text"/>
        <w:numPr>
          <w:ilvl w:val="0"/>
          <w:numId w:val="26"/>
        </w:numPr>
      </w:pPr>
      <w:r>
        <w:t>Complication severity - s</w:t>
      </w:r>
      <w:r w:rsidR="00772A13">
        <w:t xml:space="preserve">core per denominator  </w:t>
      </w:r>
    </w:p>
    <w:p w:rsidR="00772A13" w:rsidRDefault="00E50D51" w:rsidP="00E50D51">
      <w:pPr>
        <w:pStyle w:val="MDPI31text"/>
        <w:numPr>
          <w:ilvl w:val="0"/>
          <w:numId w:val="26"/>
        </w:numPr>
      </w:pPr>
      <w:r>
        <w:t>S</w:t>
      </w:r>
      <w:r w:rsidR="00772A13">
        <w:t>urgical season</w:t>
      </w:r>
      <w:r>
        <w:t xml:space="preserve"> (categorized by months)</w:t>
      </w:r>
    </w:p>
    <w:p w:rsidR="00772A13" w:rsidRDefault="00772A13" w:rsidP="00B3481C">
      <w:pPr>
        <w:pStyle w:val="MDPI31text"/>
        <w:ind w:firstLine="0"/>
      </w:pPr>
      <w:r>
        <w:br/>
        <w:t>Model Development</w:t>
      </w:r>
      <w:r>
        <w:br/>
      </w:r>
      <w:r>
        <w:tab/>
        <w:t>We have implemented the following</w:t>
      </w:r>
      <w:r w:rsidR="00E50D51">
        <w:t xml:space="preserve"> machine learning models </w:t>
      </w:r>
      <w:r>
        <w:br/>
      </w:r>
      <w:r>
        <w:tab/>
        <w:t>1. Logistic Regression</w:t>
      </w:r>
      <w:r>
        <w:br/>
      </w:r>
      <w:r>
        <w:tab/>
        <w:t>2. Random Forest Classifier</w:t>
      </w:r>
      <w:r>
        <w:br/>
      </w:r>
      <w:r>
        <w:tab/>
        <w:t>3. Support Vector Machine</w:t>
      </w:r>
      <w:r>
        <w:br/>
      </w:r>
      <w:r>
        <w:tab/>
        <w:t>4. K-Nearest Neighbors</w:t>
      </w:r>
    </w:p>
    <w:p w:rsidR="00E50D51" w:rsidRDefault="00772A13" w:rsidP="00B3481C">
      <w:pPr>
        <w:pStyle w:val="MDPI31text"/>
        <w:ind w:firstLine="0"/>
      </w:pPr>
      <w:r>
        <w:br/>
        <w:t>Evaluation Metrics</w:t>
      </w:r>
      <w:r>
        <w:br/>
      </w:r>
      <w:r>
        <w:tab/>
        <w:t>AUC / ROC : Measures model discrimination capability</w:t>
      </w:r>
      <w:r>
        <w:br/>
      </w:r>
      <w:r>
        <w:tab/>
        <w:t>Precision and Accuracy: Evaluate predictive reliability</w:t>
      </w:r>
    </w:p>
    <w:p w:rsidR="00E50D51" w:rsidRDefault="00E50D51" w:rsidP="00E50D51">
      <w:pPr>
        <w:pStyle w:val="MDPI31text"/>
        <w:ind w:firstLine="452"/>
      </w:pPr>
      <w:r>
        <w:lastRenderedPageBreak/>
        <w:t>Error Metrics</w:t>
      </w:r>
    </w:p>
    <w:p w:rsidR="00E50D51" w:rsidRDefault="00772A13" w:rsidP="00E50D51">
      <w:pPr>
        <w:pStyle w:val="MDPI31text"/>
        <w:numPr>
          <w:ilvl w:val="0"/>
          <w:numId w:val="28"/>
        </w:numPr>
      </w:pPr>
      <w:r>
        <w:t xml:space="preserve">Mean </w:t>
      </w:r>
      <w:r w:rsidR="00E50D51">
        <w:t>A</w:t>
      </w:r>
      <w:r>
        <w:t xml:space="preserve">bsolute </w:t>
      </w:r>
      <w:r w:rsidR="00E50D51">
        <w:t>E</w:t>
      </w:r>
      <w:r>
        <w:t>rror</w:t>
      </w:r>
      <w:r w:rsidR="00E50D51">
        <w:t xml:space="preserve"> (MAE)</w:t>
      </w:r>
    </w:p>
    <w:p w:rsidR="00E50D51" w:rsidRDefault="00772A13" w:rsidP="00E50D51">
      <w:pPr>
        <w:pStyle w:val="MDPI31text"/>
        <w:numPr>
          <w:ilvl w:val="0"/>
          <w:numId w:val="28"/>
        </w:numPr>
      </w:pPr>
      <w:r>
        <w:t xml:space="preserve">Mean </w:t>
      </w:r>
      <w:r w:rsidR="00E50D51">
        <w:t>S</w:t>
      </w:r>
      <w:r>
        <w:t xml:space="preserve">quare </w:t>
      </w:r>
      <w:r w:rsidR="00E50D51">
        <w:t>E</w:t>
      </w:r>
      <w:r>
        <w:t xml:space="preserve">rror </w:t>
      </w:r>
      <w:r w:rsidR="00E50D51">
        <w:t>(MSE)</w:t>
      </w:r>
    </w:p>
    <w:p w:rsidR="00E50D51" w:rsidRDefault="00772A13" w:rsidP="00E50D51">
      <w:pPr>
        <w:pStyle w:val="MDPI31text"/>
        <w:numPr>
          <w:ilvl w:val="0"/>
          <w:numId w:val="28"/>
        </w:numPr>
      </w:pPr>
      <w:r>
        <w:t xml:space="preserve">Root </w:t>
      </w:r>
      <w:r w:rsidR="00E50D51">
        <w:t>M</w:t>
      </w:r>
      <w:r>
        <w:t xml:space="preserve">ean </w:t>
      </w:r>
      <w:r w:rsidR="00E50D51">
        <w:t>S</w:t>
      </w:r>
      <w:r>
        <w:t xml:space="preserve">quare </w:t>
      </w:r>
      <w:r w:rsidR="00E50D51">
        <w:t>E</w:t>
      </w:r>
      <w:r>
        <w:t xml:space="preserve">rror </w:t>
      </w:r>
      <w:r w:rsidR="00E50D51">
        <w:t>(RMSE)</w:t>
      </w:r>
    </w:p>
    <w:p w:rsidR="0093212C" w:rsidRDefault="00772A13" w:rsidP="00E50D51">
      <w:pPr>
        <w:pStyle w:val="MDPI31text"/>
        <w:numPr>
          <w:ilvl w:val="0"/>
          <w:numId w:val="28"/>
        </w:numPr>
      </w:pPr>
      <w:r>
        <w:t xml:space="preserve">Mean </w:t>
      </w:r>
      <w:r w:rsidR="00E50D51">
        <w:t>A</w:t>
      </w:r>
      <w:r>
        <w:t xml:space="preserve">bsolute </w:t>
      </w:r>
      <w:r w:rsidR="00E50D51">
        <w:t>P</w:t>
      </w:r>
      <w:r>
        <w:t xml:space="preserve">ercentage </w:t>
      </w:r>
      <w:r w:rsidR="00E50D51">
        <w:t>E</w:t>
      </w:r>
      <w:r>
        <w:t>rror</w:t>
      </w:r>
      <w:r w:rsidR="00E50D51">
        <w:t xml:space="preserve"> (MAPE)</w:t>
      </w:r>
      <w:r>
        <w:t xml:space="preserve"> </w:t>
      </w:r>
      <w:r w:rsidR="0093212C">
        <w:tab/>
        <w:t xml:space="preserve"> </w:t>
      </w:r>
    </w:p>
    <w:p w:rsidR="00FF0BD6" w:rsidRPr="001F31D1" w:rsidRDefault="00E50D51" w:rsidP="00205AE5">
      <w:pPr>
        <w:pStyle w:val="MDPI21heading1"/>
      </w:pPr>
      <w:r>
        <w:br/>
      </w:r>
      <w:r w:rsidR="00FF0BD6" w:rsidRPr="001F31D1">
        <w:t>3. Results</w:t>
      </w:r>
    </w:p>
    <w:p w:rsidR="00FF0BD6" w:rsidRDefault="00FF0BD6" w:rsidP="00A631A5">
      <w:pPr>
        <w:pStyle w:val="MDPI31text"/>
        <w:ind w:left="2040" w:firstLine="510"/>
      </w:pPr>
      <w:r w:rsidRPr="001F31D1">
        <w:t>3.1.</w:t>
      </w:r>
      <w:r w:rsidR="00FC745E">
        <w:t>1</w:t>
      </w:r>
      <w:r w:rsidRPr="001F31D1">
        <w:t xml:space="preserve"> </w:t>
      </w:r>
      <w:r w:rsidR="00A631A5">
        <w:t>Model Performance</w:t>
      </w:r>
    </w:p>
    <w:p w:rsidR="00A631A5" w:rsidRDefault="00A631A5" w:rsidP="00A631A5">
      <w:pPr>
        <w:pStyle w:val="MDPI31text"/>
        <w:ind w:left="2040" w:firstLine="510"/>
      </w:pPr>
      <w:r>
        <w:tab/>
        <w:t>1. Random Forest Classifier: Has the highest accuracy and precision</w:t>
      </w:r>
    </w:p>
    <w:p w:rsidR="00A631A5" w:rsidRDefault="00A631A5" w:rsidP="00A631A5">
      <w:pPr>
        <w:pStyle w:val="MDPI31text"/>
        <w:ind w:left="2040" w:firstLine="510"/>
      </w:pPr>
      <w:r>
        <w:tab/>
        <w:t xml:space="preserve">2. Logistic Regression: Has the next best accuracy, precision </w:t>
      </w:r>
    </w:p>
    <w:p w:rsidR="00A631A5" w:rsidRDefault="00A631A5" w:rsidP="00A631A5">
      <w:pPr>
        <w:pStyle w:val="MDPI31text"/>
        <w:ind w:left="2040" w:firstLine="510"/>
      </w:pPr>
      <w:r>
        <w:tab/>
        <w:t xml:space="preserve">3. SVM and KNN: Had low performance when compared to above models </w:t>
      </w:r>
    </w:p>
    <w:p w:rsidR="00FC745E" w:rsidRDefault="00FC745E" w:rsidP="00A631A5">
      <w:pPr>
        <w:pStyle w:val="MDPI31text"/>
        <w:ind w:left="2040" w:firstLine="510"/>
      </w:pPr>
    </w:p>
    <w:p w:rsidR="00FC745E" w:rsidRDefault="00FC745E" w:rsidP="00A631A5">
      <w:pPr>
        <w:pStyle w:val="MDPI31text"/>
        <w:ind w:left="2040" w:firstLine="510"/>
      </w:pPr>
      <w:r>
        <w:t>3.1.2 Observations</w:t>
      </w:r>
    </w:p>
    <w:p w:rsidR="00F758E7" w:rsidRDefault="00FC745E" w:rsidP="00F758E7">
      <w:pPr>
        <w:pStyle w:val="MDPI31text"/>
        <w:ind w:left="3054" w:firstLine="0"/>
      </w:pPr>
      <w:r>
        <w:t xml:space="preserve">1. Complications: </w:t>
      </w:r>
      <w:r w:rsidR="00535858">
        <w:t>Heart attack patients, hip &amp; knee surgery patients have the most mortality rates. Memorial hospital and Community memorial hospital has the highest complications and deaths.</w:t>
      </w:r>
      <w:r w:rsidR="00F758E7">
        <w:t xml:space="preserve"> </w:t>
      </w:r>
    </w:p>
    <w:p w:rsidR="00F758E7" w:rsidRDefault="00F758E7" w:rsidP="00F758E7">
      <w:pPr>
        <w:pStyle w:val="MDPI31text"/>
        <w:ind w:left="3054" w:firstLine="0"/>
      </w:pPr>
    </w:p>
    <w:p w:rsidR="00F758E7" w:rsidRPr="001F31D1" w:rsidRDefault="00F758E7" w:rsidP="00F758E7">
      <w:pPr>
        <w:pStyle w:val="MDPI31text"/>
        <w:ind w:left="3054" w:firstLine="0"/>
      </w:pPr>
    </w:p>
    <w:p w:rsidR="00FF0BD6" w:rsidRPr="00E75611" w:rsidRDefault="00FF0BD6" w:rsidP="001A242A">
      <w:pPr>
        <w:pStyle w:val="MDPI22heading2"/>
        <w:spacing w:before="240"/>
        <w:rPr>
          <w:noProof w:val="0"/>
        </w:rPr>
      </w:pPr>
      <w:r w:rsidRPr="00E75611">
        <w:t>3.2</w:t>
      </w:r>
      <w:r w:rsidRPr="00E75611">
        <w:rPr>
          <w:noProof w:val="0"/>
        </w:rPr>
        <w:t>. Figures, Tables and Schemes</w:t>
      </w:r>
    </w:p>
    <w:p w:rsidR="00FF0BD6" w:rsidRDefault="00F758E7" w:rsidP="00216129">
      <w:pPr>
        <w:pStyle w:val="MDPI52figure"/>
        <w:ind w:left="2608"/>
        <w:jc w:val="left"/>
        <w:rPr>
          <w:b/>
        </w:rPr>
      </w:pPr>
      <w:r>
        <w:rPr>
          <w:b/>
          <w:noProof/>
          <w:snapToGrid/>
        </w:rPr>
        <w:drawing>
          <wp:inline distT="0" distB="0" distL="0" distR="0">
            <wp:extent cx="2065866" cy="601639"/>
            <wp:effectExtent l="0" t="0" r="0" b="8255"/>
            <wp:docPr id="70488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86333" name="Picture 704886333"/>
                    <pic:cNvPicPr/>
                  </pic:nvPicPr>
                  <pic:blipFill>
                    <a:blip r:embed="rId9"/>
                    <a:stretch>
                      <a:fillRect/>
                    </a:stretch>
                  </pic:blipFill>
                  <pic:spPr>
                    <a:xfrm>
                      <a:off x="0" y="0"/>
                      <a:ext cx="2110928" cy="614762"/>
                    </a:xfrm>
                    <a:prstGeom prst="rect">
                      <a:avLst/>
                    </a:prstGeom>
                  </pic:spPr>
                </pic:pic>
              </a:graphicData>
            </a:graphic>
          </wp:inline>
        </w:drawing>
      </w:r>
    </w:p>
    <w:p w:rsidR="00FF0BD6" w:rsidRDefault="00FF0BD6" w:rsidP="000E4A57">
      <w:pPr>
        <w:pStyle w:val="MDPI51figurecaption"/>
      </w:pPr>
      <w:r w:rsidRPr="00FA04F1">
        <w:rPr>
          <w:b/>
        </w:rPr>
        <w:t xml:space="preserve">Figure 1. </w:t>
      </w:r>
      <w:r w:rsidR="00A17241">
        <w:t>T</w:t>
      </w:r>
      <w:r w:rsidR="00F758E7">
        <w:t>op10 states with</w:t>
      </w:r>
      <w:r w:rsidR="007A1ECD">
        <w:t xml:space="preserve"> highest number of</w:t>
      </w:r>
      <w:r w:rsidR="00F758E7">
        <w:t xml:space="preserve"> complications and deaths.</w:t>
      </w:r>
      <w:r w:rsidR="007A1ECD">
        <w:t xml:space="preserve"> (According to our data set – its Texas, California and Florida)</w:t>
      </w:r>
    </w:p>
    <w:p w:rsidR="00FF0BD6" w:rsidRDefault="00FF0BD6" w:rsidP="000E4A57">
      <w:pPr>
        <w:pStyle w:val="MDPI41tablecaption"/>
      </w:pPr>
      <w:r>
        <w:rPr>
          <w:b/>
        </w:rPr>
        <w:t>Table 1</w:t>
      </w:r>
      <w:r w:rsidRPr="00325902">
        <w:rPr>
          <w:b/>
        </w:rPr>
        <w:t>.</w:t>
      </w:r>
      <w:r w:rsidRPr="00325902">
        <w:t xml:space="preserve"> </w:t>
      </w:r>
    </w:p>
    <w:tbl>
      <w:tblPr>
        <w:tblW w:w="703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1577"/>
        <w:gridCol w:w="1418"/>
        <w:gridCol w:w="1418"/>
      </w:tblGrid>
      <w:tr w:rsidR="007A1ECD" w:rsidRPr="008C41A6" w:rsidTr="007A1ECD">
        <w:tc>
          <w:tcPr>
            <w:tcW w:w="2619" w:type="dxa"/>
            <w:tcBorders>
              <w:bottom w:val="single" w:sz="4" w:space="0" w:color="auto"/>
            </w:tcBorders>
            <w:shd w:val="clear" w:color="auto" w:fill="auto"/>
            <w:vAlign w:val="center"/>
          </w:tcPr>
          <w:p w:rsidR="007A1ECD" w:rsidRPr="007F7C8C" w:rsidRDefault="00AD3667" w:rsidP="008C41A6">
            <w:pPr>
              <w:pStyle w:val="MDPI42tablebody"/>
              <w:spacing w:line="240" w:lineRule="auto"/>
              <w:rPr>
                <w:b/>
                <w:snapToGrid/>
              </w:rPr>
            </w:pPr>
            <w:r>
              <w:rPr>
                <w:b/>
                <w:snapToGrid/>
              </w:rPr>
              <w:t>Model Name</w:t>
            </w:r>
          </w:p>
        </w:tc>
        <w:tc>
          <w:tcPr>
            <w:tcW w:w="1577" w:type="dxa"/>
            <w:tcBorders>
              <w:bottom w:val="single" w:sz="4" w:space="0" w:color="auto"/>
            </w:tcBorders>
            <w:shd w:val="clear" w:color="auto" w:fill="auto"/>
            <w:vAlign w:val="center"/>
          </w:tcPr>
          <w:p w:rsidR="007A1ECD" w:rsidRPr="007F7C8C" w:rsidRDefault="00AD3667" w:rsidP="007A1ECD">
            <w:pPr>
              <w:pStyle w:val="MDPI42tablebody"/>
              <w:spacing w:line="240" w:lineRule="auto"/>
              <w:jc w:val="both"/>
              <w:rPr>
                <w:b/>
                <w:snapToGrid/>
              </w:rPr>
            </w:pPr>
            <w:r>
              <w:rPr>
                <w:b/>
                <w:snapToGrid/>
              </w:rPr>
              <w:t>Accuracy</w:t>
            </w:r>
          </w:p>
        </w:tc>
        <w:tc>
          <w:tcPr>
            <w:tcW w:w="1418" w:type="dxa"/>
            <w:tcBorders>
              <w:bottom w:val="single" w:sz="4" w:space="0" w:color="auto"/>
            </w:tcBorders>
            <w:shd w:val="clear" w:color="auto" w:fill="auto"/>
            <w:vAlign w:val="center"/>
          </w:tcPr>
          <w:p w:rsidR="007A1ECD" w:rsidRPr="007F7C8C" w:rsidRDefault="00AD3667" w:rsidP="007A1ECD">
            <w:pPr>
              <w:pStyle w:val="MDPI42tablebody"/>
              <w:spacing w:line="240" w:lineRule="auto"/>
              <w:jc w:val="both"/>
              <w:rPr>
                <w:b/>
                <w:snapToGrid/>
              </w:rPr>
            </w:pPr>
            <w:r>
              <w:rPr>
                <w:b/>
                <w:snapToGrid/>
              </w:rPr>
              <w:t>Precision</w:t>
            </w:r>
            <w:r w:rsidR="007A1ECD">
              <w:rPr>
                <w:b/>
                <w:snapToGrid/>
              </w:rPr>
              <w:t xml:space="preserve">      </w:t>
            </w:r>
          </w:p>
        </w:tc>
        <w:tc>
          <w:tcPr>
            <w:tcW w:w="1418" w:type="dxa"/>
            <w:tcBorders>
              <w:bottom w:val="single" w:sz="4" w:space="0" w:color="auto"/>
            </w:tcBorders>
          </w:tcPr>
          <w:p w:rsidR="007A1ECD" w:rsidRPr="007F7C8C" w:rsidRDefault="00AD3667" w:rsidP="007A1ECD">
            <w:pPr>
              <w:pStyle w:val="MDPI42tablebody"/>
              <w:spacing w:line="240" w:lineRule="auto"/>
              <w:jc w:val="both"/>
              <w:rPr>
                <w:b/>
                <w:snapToGrid/>
              </w:rPr>
            </w:pPr>
            <w:r>
              <w:rPr>
                <w:b/>
                <w:snapToGrid/>
              </w:rPr>
              <w:t>AUC/ROC</w:t>
            </w:r>
          </w:p>
        </w:tc>
      </w:tr>
      <w:tr w:rsidR="00AD3667" w:rsidRPr="008C41A6" w:rsidTr="007A1ECD">
        <w:tc>
          <w:tcPr>
            <w:tcW w:w="2619" w:type="dxa"/>
            <w:tcBorders>
              <w:bottom w:val="single" w:sz="4" w:space="0" w:color="auto"/>
            </w:tcBorders>
            <w:shd w:val="clear" w:color="auto" w:fill="auto"/>
            <w:vAlign w:val="center"/>
          </w:tcPr>
          <w:p w:rsidR="00AD3667" w:rsidRDefault="00AD3667" w:rsidP="008C41A6">
            <w:pPr>
              <w:pStyle w:val="MDPI42tablebody"/>
              <w:spacing w:line="240" w:lineRule="auto"/>
              <w:rPr>
                <w:b/>
                <w:snapToGrid/>
              </w:rPr>
            </w:pPr>
            <w:r>
              <w:t>Random Forest Classifier</w:t>
            </w:r>
          </w:p>
        </w:tc>
        <w:tc>
          <w:tcPr>
            <w:tcW w:w="1577" w:type="dxa"/>
            <w:tcBorders>
              <w:bottom w:val="single" w:sz="4" w:space="0" w:color="auto"/>
            </w:tcBorders>
            <w:shd w:val="clear" w:color="auto" w:fill="auto"/>
            <w:vAlign w:val="center"/>
          </w:tcPr>
          <w:p w:rsidR="00AD3667" w:rsidRDefault="00AD3667" w:rsidP="007A1ECD">
            <w:pPr>
              <w:pStyle w:val="MDPI42tablebody"/>
              <w:spacing w:line="240" w:lineRule="auto"/>
              <w:jc w:val="both"/>
              <w:rPr>
                <w:b/>
                <w:snapToGrid/>
              </w:rPr>
            </w:pPr>
          </w:p>
        </w:tc>
        <w:tc>
          <w:tcPr>
            <w:tcW w:w="1418" w:type="dxa"/>
            <w:tcBorders>
              <w:bottom w:val="single" w:sz="4" w:space="0" w:color="auto"/>
            </w:tcBorders>
            <w:shd w:val="clear" w:color="auto" w:fill="auto"/>
            <w:vAlign w:val="center"/>
          </w:tcPr>
          <w:p w:rsidR="00AD3667" w:rsidRDefault="00AD3667" w:rsidP="007A1ECD">
            <w:pPr>
              <w:pStyle w:val="MDPI42tablebody"/>
              <w:spacing w:line="240" w:lineRule="auto"/>
              <w:jc w:val="both"/>
              <w:rPr>
                <w:b/>
                <w:snapToGrid/>
              </w:rPr>
            </w:pPr>
          </w:p>
        </w:tc>
        <w:tc>
          <w:tcPr>
            <w:tcW w:w="1418" w:type="dxa"/>
            <w:tcBorders>
              <w:bottom w:val="single" w:sz="4" w:space="0" w:color="auto"/>
            </w:tcBorders>
          </w:tcPr>
          <w:p w:rsidR="00AD3667" w:rsidRDefault="00AD3667" w:rsidP="007A1ECD">
            <w:pPr>
              <w:pStyle w:val="MDPI42tablebody"/>
              <w:spacing w:line="240" w:lineRule="auto"/>
              <w:jc w:val="both"/>
              <w:rPr>
                <w:b/>
                <w:snapToGrid/>
              </w:rPr>
            </w:pPr>
          </w:p>
        </w:tc>
      </w:tr>
      <w:tr w:rsidR="00AD3667" w:rsidRPr="008C41A6" w:rsidTr="007A1ECD">
        <w:tc>
          <w:tcPr>
            <w:tcW w:w="2619" w:type="dxa"/>
            <w:tcBorders>
              <w:bottom w:val="single" w:sz="4" w:space="0" w:color="auto"/>
            </w:tcBorders>
            <w:shd w:val="clear" w:color="auto" w:fill="auto"/>
            <w:vAlign w:val="center"/>
          </w:tcPr>
          <w:p w:rsidR="00AD3667" w:rsidRDefault="00AD3667" w:rsidP="008C41A6">
            <w:pPr>
              <w:pStyle w:val="MDPI42tablebody"/>
              <w:spacing w:line="240" w:lineRule="auto"/>
            </w:pPr>
            <w:r>
              <w:t>Logistic Regression</w:t>
            </w:r>
          </w:p>
        </w:tc>
        <w:tc>
          <w:tcPr>
            <w:tcW w:w="1577" w:type="dxa"/>
            <w:tcBorders>
              <w:bottom w:val="single" w:sz="4" w:space="0" w:color="auto"/>
            </w:tcBorders>
            <w:shd w:val="clear" w:color="auto" w:fill="auto"/>
            <w:vAlign w:val="center"/>
          </w:tcPr>
          <w:p w:rsidR="00AD3667" w:rsidRDefault="00AD3667" w:rsidP="007A1ECD">
            <w:pPr>
              <w:pStyle w:val="MDPI42tablebody"/>
              <w:spacing w:line="240" w:lineRule="auto"/>
              <w:jc w:val="both"/>
              <w:rPr>
                <w:b/>
                <w:snapToGrid/>
              </w:rPr>
            </w:pPr>
          </w:p>
        </w:tc>
        <w:tc>
          <w:tcPr>
            <w:tcW w:w="1418" w:type="dxa"/>
            <w:tcBorders>
              <w:bottom w:val="single" w:sz="4" w:space="0" w:color="auto"/>
            </w:tcBorders>
            <w:shd w:val="clear" w:color="auto" w:fill="auto"/>
            <w:vAlign w:val="center"/>
          </w:tcPr>
          <w:p w:rsidR="00AD3667" w:rsidRDefault="00AD3667" w:rsidP="007A1ECD">
            <w:pPr>
              <w:pStyle w:val="MDPI42tablebody"/>
              <w:spacing w:line="240" w:lineRule="auto"/>
              <w:jc w:val="both"/>
              <w:rPr>
                <w:b/>
                <w:snapToGrid/>
              </w:rPr>
            </w:pPr>
          </w:p>
        </w:tc>
        <w:tc>
          <w:tcPr>
            <w:tcW w:w="1418" w:type="dxa"/>
            <w:tcBorders>
              <w:bottom w:val="single" w:sz="4" w:space="0" w:color="auto"/>
            </w:tcBorders>
          </w:tcPr>
          <w:p w:rsidR="00AD3667" w:rsidRDefault="00AD3667" w:rsidP="007A1ECD">
            <w:pPr>
              <w:pStyle w:val="MDPI42tablebody"/>
              <w:spacing w:line="240" w:lineRule="auto"/>
              <w:jc w:val="both"/>
              <w:rPr>
                <w:b/>
                <w:snapToGrid/>
              </w:rPr>
            </w:pPr>
          </w:p>
        </w:tc>
      </w:tr>
    </w:tbl>
    <w:p w:rsidR="00FF0BD6" w:rsidRDefault="00AD3667" w:rsidP="00205AE5">
      <w:pPr>
        <w:pStyle w:val="MDPI31text"/>
        <w:spacing w:before="240"/>
      </w:pPr>
      <w:r>
        <w:t>As you can see above out of all the models RFC has the highest accuracy.</w:t>
      </w:r>
    </w:p>
    <w:p w:rsidR="004A7B04" w:rsidRDefault="004A7B04" w:rsidP="00205AE5">
      <w:pPr>
        <w:pStyle w:val="MDPI31text"/>
        <w:spacing w:before="240"/>
      </w:pPr>
    </w:p>
    <w:p w:rsidR="004A7B04" w:rsidRDefault="004A7B04" w:rsidP="00205AE5">
      <w:pPr>
        <w:pStyle w:val="MDPI31text"/>
        <w:spacing w:before="240"/>
      </w:pPr>
    </w:p>
    <w:p w:rsidR="00226F74" w:rsidRDefault="00226F74" w:rsidP="00226F74">
      <w:pPr>
        <w:pStyle w:val="MDPI31text"/>
        <w:spacing w:before="240"/>
        <w:rPr>
          <w:noProof/>
        </w:rPr>
      </w:pPr>
      <w:r>
        <w:rPr>
          <w:noProof/>
          <w:snapToGrid/>
        </w:rPr>
        <w:drawing>
          <wp:inline distT="0" distB="0" distL="0" distR="0">
            <wp:extent cx="2405743" cy="1650863"/>
            <wp:effectExtent l="0" t="0" r="0" b="6985"/>
            <wp:docPr id="184898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4784" name="Picture 1848984784"/>
                    <pic:cNvPicPr/>
                  </pic:nvPicPr>
                  <pic:blipFill>
                    <a:blip r:embed="rId10"/>
                    <a:stretch>
                      <a:fillRect/>
                    </a:stretch>
                  </pic:blipFill>
                  <pic:spPr>
                    <a:xfrm>
                      <a:off x="0" y="0"/>
                      <a:ext cx="2427023" cy="1665465"/>
                    </a:xfrm>
                    <a:prstGeom prst="rect">
                      <a:avLst/>
                    </a:prstGeom>
                  </pic:spPr>
                </pic:pic>
              </a:graphicData>
            </a:graphic>
          </wp:inline>
        </w:drawing>
      </w:r>
      <w:r w:rsidRPr="00226F74">
        <w:rPr>
          <w:noProof/>
        </w:rPr>
        <w:t xml:space="preserve"> </w:t>
      </w:r>
      <w:r w:rsidRPr="00226F74">
        <w:drawing>
          <wp:inline distT="0" distB="0" distL="0" distR="0" wp14:anchorId="6AF4425F" wp14:editId="1F9CDC26">
            <wp:extent cx="3886200" cy="1649412"/>
            <wp:effectExtent l="0" t="0" r="0" b="8255"/>
            <wp:docPr id="40994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48563" name=""/>
                    <pic:cNvPicPr/>
                  </pic:nvPicPr>
                  <pic:blipFill>
                    <a:blip r:embed="rId11"/>
                    <a:stretch>
                      <a:fillRect/>
                    </a:stretch>
                  </pic:blipFill>
                  <pic:spPr>
                    <a:xfrm>
                      <a:off x="0" y="0"/>
                      <a:ext cx="3924023" cy="1665465"/>
                    </a:xfrm>
                    <a:prstGeom prst="rect">
                      <a:avLst/>
                    </a:prstGeom>
                  </pic:spPr>
                </pic:pic>
              </a:graphicData>
            </a:graphic>
          </wp:inline>
        </w:drawing>
      </w:r>
    </w:p>
    <w:p w:rsidR="005C79AC" w:rsidRDefault="005C79AC" w:rsidP="00226F74">
      <w:pPr>
        <w:pStyle w:val="MDPI31text"/>
        <w:spacing w:before="240"/>
        <w:rPr>
          <w:noProof/>
        </w:rPr>
      </w:pPr>
    </w:p>
    <w:p w:rsidR="005C79AC" w:rsidRDefault="00226F74" w:rsidP="005C79AC">
      <w:pPr>
        <w:pStyle w:val="MDPI31text"/>
        <w:spacing w:before="240"/>
        <w:ind w:left="2550" w:firstLine="0"/>
        <w:rPr>
          <w:noProof/>
        </w:rPr>
      </w:pPr>
      <w:r>
        <w:rPr>
          <w:noProof/>
        </w:rPr>
        <w:t>The above figures – on the left hand side which represents the correlation heat map shows the following</w:t>
      </w:r>
      <w:r w:rsidR="005C79AC">
        <w:rPr>
          <w:noProof/>
        </w:rPr>
        <w:br/>
        <w:t xml:space="preserve"> </w:t>
      </w:r>
      <w:r w:rsidR="005C79AC">
        <w:rPr>
          <w:noProof/>
        </w:rPr>
        <w:tab/>
        <w:t xml:space="preserve">1. </w:t>
      </w:r>
      <w:r>
        <w:rPr>
          <w:noProof/>
        </w:rPr>
        <w:t>Measure ID and Measure Duration are positively corelated</w:t>
      </w:r>
      <w:r w:rsidR="005C79AC">
        <w:rPr>
          <w:noProof/>
        </w:rPr>
        <w:br/>
        <w:t xml:space="preserve"> </w:t>
      </w:r>
      <w:r w:rsidR="005C79AC">
        <w:rPr>
          <w:noProof/>
        </w:rPr>
        <w:tab/>
        <w:t xml:space="preserve">2. </w:t>
      </w:r>
      <w:r>
        <w:rPr>
          <w:noProof/>
        </w:rPr>
        <w:t>Lower Estimate and Higher Estimate are negatively corelated</w:t>
      </w:r>
    </w:p>
    <w:p w:rsidR="00226F74" w:rsidRDefault="005C79AC" w:rsidP="005C79AC">
      <w:pPr>
        <w:pStyle w:val="MDPI31text"/>
        <w:spacing w:before="240"/>
        <w:ind w:left="2550" w:firstLine="0"/>
        <w:rPr>
          <w:noProof/>
        </w:rPr>
      </w:pPr>
      <w:r>
        <w:rPr>
          <w:noProof/>
        </w:rPr>
        <w:t>The figure on the right side shows the distribution of scores as following</w:t>
      </w:r>
      <w:r>
        <w:rPr>
          <w:noProof/>
        </w:rPr>
        <w:br/>
        <w:t xml:space="preserve"> </w:t>
      </w:r>
      <w:r>
        <w:rPr>
          <w:noProof/>
        </w:rPr>
        <w:tab/>
        <w:t xml:space="preserve">1. </w:t>
      </w:r>
      <w:r w:rsidR="0070673D">
        <w:rPr>
          <w:noProof/>
        </w:rPr>
        <w:t xml:space="preserve">Three score categories – low, medium and high </w:t>
      </w:r>
      <w:r w:rsidR="0070673D">
        <w:rPr>
          <w:noProof/>
        </w:rPr>
        <w:br/>
        <w:t xml:space="preserve"> </w:t>
      </w:r>
      <w:r w:rsidR="0070673D">
        <w:rPr>
          <w:noProof/>
        </w:rPr>
        <w:tab/>
        <w:t xml:space="preserve">2. Medium has the most number of records and few number of high indicating the complication rate </w:t>
      </w:r>
      <w:r w:rsidR="0070673D">
        <w:rPr>
          <w:noProof/>
        </w:rPr>
        <w:tab/>
      </w:r>
      <w:r w:rsidR="00226F74">
        <w:rPr>
          <w:noProof/>
        </w:rPr>
        <w:br/>
      </w:r>
      <w:r w:rsidR="00226F74">
        <w:rPr>
          <w:noProof/>
        </w:rPr>
        <w:tab/>
      </w:r>
      <w:r w:rsidR="00226F74">
        <w:rPr>
          <w:noProof/>
        </w:rPr>
        <w:tab/>
      </w:r>
    </w:p>
    <w:p w:rsidR="005C79AC" w:rsidRDefault="005C79AC" w:rsidP="00205AE5">
      <w:pPr>
        <w:pStyle w:val="MDPI31text"/>
      </w:pPr>
      <w:bookmarkStart w:id="0" w:name="page3"/>
      <w:bookmarkEnd w:id="0"/>
    </w:p>
    <w:p w:rsidR="005C79AC" w:rsidRPr="005C79AC" w:rsidRDefault="005C79AC" w:rsidP="005C79AC">
      <w:pPr>
        <w:pStyle w:val="MDPI31text"/>
        <w:ind w:left="0" w:firstLine="0"/>
        <w:rPr>
          <w:b/>
          <w:bCs/>
        </w:rPr>
      </w:pPr>
      <w:r>
        <w:tab/>
      </w:r>
      <w:r>
        <w:tab/>
      </w:r>
      <w:r>
        <w:tab/>
      </w:r>
      <w:r>
        <w:tab/>
      </w:r>
      <w:r>
        <w:tab/>
      </w:r>
      <w:r w:rsidRPr="005C79AC">
        <w:rPr>
          <w:b/>
          <w:bCs/>
        </w:rPr>
        <w:t>4. Discussion</w:t>
      </w:r>
    </w:p>
    <w:p w:rsidR="00FF0BD6" w:rsidRPr="00325902" w:rsidRDefault="00772A13" w:rsidP="00205AE5">
      <w:pPr>
        <w:pStyle w:val="MDPI31text"/>
      </w:pPr>
      <w:r>
        <w:t xml:space="preserve">Highlights the potential of Machine learning in predicting post operative risks. While Random Forest classifier demonstrated highest predictive power. Integrating these models into clinical </w:t>
      </w:r>
      <w:r w:rsidR="00322035">
        <w:t xml:space="preserve">workflow could enhance patient stratification. Future work should explore larger datasets and external validation to improve generalizability, integrating real time patient monitoring data could further enhance predictive accuracy. </w:t>
      </w:r>
    </w:p>
    <w:p w:rsidR="00FF0BD6" w:rsidRPr="00325902" w:rsidRDefault="00FF0BD6" w:rsidP="007E704A">
      <w:pPr>
        <w:pStyle w:val="MDPI21heading1"/>
      </w:pPr>
      <w:r>
        <w:t>5. Conclusions</w:t>
      </w:r>
    </w:p>
    <w:p w:rsidR="00FF0BD6" w:rsidRDefault="00FF0BD6" w:rsidP="00205AE5">
      <w:pPr>
        <w:pStyle w:val="MDPI31text"/>
      </w:pPr>
      <w:r w:rsidRPr="00325902">
        <w:t xml:space="preserve">This </w:t>
      </w:r>
      <w:r w:rsidR="006B182F">
        <w:t>proposed machine learning framework can be useful in predicting the in-hospital mortality, as we can identify the death complication associated with it which helps improving clinical decision-making and postoperative care strategies. According to this data we can identify the hospitals with highest and lowest mortality rates.</w:t>
      </w:r>
    </w:p>
    <w:p w:rsidR="00FF0BD6" w:rsidRDefault="00FF0BD6" w:rsidP="001A242A">
      <w:pPr>
        <w:pStyle w:val="MDPI62BackMatter"/>
        <w:spacing w:before="240"/>
      </w:pPr>
      <w:r w:rsidRPr="00FA04F1">
        <w:rPr>
          <w:b/>
        </w:rPr>
        <w:lastRenderedPageBreak/>
        <w:t>Supplementary Materials:</w:t>
      </w:r>
      <w:r w:rsidR="000E4A57">
        <w:rPr>
          <w:b/>
        </w:rPr>
        <w:t xml:space="preserve"> </w:t>
      </w:r>
      <w:r w:rsidR="00FC5768">
        <w:t>The following supporting information can be downloaded at: www.mdpi.com/xxx/s1, Figure S1: title; Table S1: title; Video S1: title.</w:t>
      </w:r>
    </w:p>
    <w:p w:rsidR="00853E75" w:rsidRDefault="00FF0BD6" w:rsidP="00FF0BD6">
      <w:pPr>
        <w:pStyle w:val="MDPI62BackMatter"/>
      </w:pPr>
      <w:r w:rsidRPr="00613B31">
        <w:rPr>
          <w:b/>
        </w:rPr>
        <w:t>Author Contributions:</w:t>
      </w:r>
      <w:r w:rsidRPr="00613B31">
        <w:t xml:space="preserve"> Conceptualization, </w:t>
      </w:r>
      <w:r w:rsidR="00853E75">
        <w:t>J</w:t>
      </w:r>
      <w:r w:rsidRPr="00613B31">
        <w:t>.</w:t>
      </w:r>
      <w:r w:rsidR="00853E75">
        <w:t>J</w:t>
      </w:r>
      <w:r w:rsidRPr="00613B31">
        <w:t xml:space="preserve">. and </w:t>
      </w:r>
      <w:r w:rsidR="00853E75">
        <w:t>J</w:t>
      </w:r>
      <w:r w:rsidRPr="00613B31">
        <w:t>.</w:t>
      </w:r>
      <w:r w:rsidR="00853E75">
        <w:t>U</w:t>
      </w:r>
      <w:r w:rsidRPr="00613B31">
        <w:t xml:space="preserve">.; methodology, </w:t>
      </w:r>
      <w:r w:rsidR="00853E75">
        <w:t>J</w:t>
      </w:r>
      <w:r w:rsidRPr="00613B31">
        <w:t>.</w:t>
      </w:r>
      <w:r w:rsidR="00853E75">
        <w:t>U</w:t>
      </w:r>
      <w:r w:rsidRPr="00613B31">
        <w:t xml:space="preserve">.; software, </w:t>
      </w:r>
      <w:r w:rsidR="00853E75">
        <w:t>J</w:t>
      </w:r>
      <w:r w:rsidRPr="00613B31">
        <w:t>.</w:t>
      </w:r>
      <w:r w:rsidR="00853E75">
        <w:t>J</w:t>
      </w:r>
      <w:r w:rsidRPr="00613B31">
        <w:t xml:space="preserve">.; validation, </w:t>
      </w:r>
      <w:r w:rsidR="00853E75">
        <w:t>J</w:t>
      </w:r>
      <w:r w:rsidRPr="00613B31">
        <w:t>.</w:t>
      </w:r>
      <w:r w:rsidR="00853E75">
        <w:t>J</w:t>
      </w:r>
      <w:r w:rsidRPr="00613B31">
        <w:t xml:space="preserve">., </w:t>
      </w:r>
      <w:r w:rsidR="00853E75">
        <w:t>J</w:t>
      </w:r>
      <w:r w:rsidRPr="00613B31">
        <w:t>.</w:t>
      </w:r>
      <w:r w:rsidR="00853E75">
        <w:t>U</w:t>
      </w:r>
      <w:r w:rsidRPr="00613B31">
        <w:t xml:space="preserve">. and </w:t>
      </w:r>
      <w:r w:rsidR="00853E75">
        <w:t>N</w:t>
      </w:r>
      <w:r w:rsidRPr="00613B31">
        <w:t>.</w:t>
      </w:r>
      <w:r w:rsidR="00853E75">
        <w:t>V</w:t>
      </w:r>
      <w:r w:rsidRPr="00613B31">
        <w:t xml:space="preserve">.; formal analysis, </w:t>
      </w:r>
      <w:r w:rsidR="00853E75">
        <w:t>J</w:t>
      </w:r>
      <w:r w:rsidRPr="00613B31">
        <w:t>.</w:t>
      </w:r>
      <w:r w:rsidR="00853E75">
        <w:t>J</w:t>
      </w:r>
      <w:r w:rsidRPr="00613B31">
        <w:t xml:space="preserve">.; investigation, </w:t>
      </w:r>
      <w:r w:rsidR="00853E75">
        <w:t>J</w:t>
      </w:r>
      <w:r w:rsidRPr="00613B31">
        <w:t>.</w:t>
      </w:r>
      <w:r w:rsidR="00853E75">
        <w:t>U</w:t>
      </w:r>
      <w:r w:rsidRPr="00613B31">
        <w:t xml:space="preserve">.; resources, </w:t>
      </w:r>
      <w:r w:rsidR="00853E75">
        <w:t>J</w:t>
      </w:r>
      <w:r w:rsidRPr="00613B31">
        <w:t>.</w:t>
      </w:r>
      <w:r w:rsidR="00853E75">
        <w:t>U</w:t>
      </w:r>
      <w:r w:rsidRPr="00613B31">
        <w:t xml:space="preserve">.; data curation, </w:t>
      </w:r>
      <w:r w:rsidR="00853E75">
        <w:t>N</w:t>
      </w:r>
      <w:r w:rsidRPr="00613B31">
        <w:t>.</w:t>
      </w:r>
      <w:r w:rsidR="00853E75">
        <w:t>V</w:t>
      </w:r>
      <w:r w:rsidRPr="00613B31">
        <w:t xml:space="preserve">.; writing—original draft preparation, </w:t>
      </w:r>
      <w:r w:rsidR="00853E75">
        <w:t>J</w:t>
      </w:r>
      <w:r w:rsidRPr="00613B31">
        <w:t>.</w:t>
      </w:r>
      <w:r w:rsidR="00853E75">
        <w:t>U</w:t>
      </w:r>
      <w:r w:rsidRPr="00613B31">
        <w:t>.</w:t>
      </w:r>
      <w:r w:rsidR="00853E75">
        <w:t>, and J.J.</w:t>
      </w:r>
      <w:r w:rsidRPr="00613B31">
        <w:t xml:space="preserve">; writing—review and editing, </w:t>
      </w:r>
      <w:r w:rsidR="00853E75">
        <w:t>J.U and J.J</w:t>
      </w:r>
      <w:r w:rsidRPr="00613B31">
        <w:t xml:space="preserve">.; visualization, </w:t>
      </w:r>
      <w:r w:rsidR="00853E75">
        <w:t>J</w:t>
      </w:r>
      <w:r w:rsidRPr="00613B31">
        <w:t>.</w:t>
      </w:r>
      <w:r w:rsidR="00853E75">
        <w:t>U</w:t>
      </w:r>
      <w:r w:rsidRPr="00613B31">
        <w:t xml:space="preserve">.; supervision, </w:t>
      </w:r>
      <w:r w:rsidR="00853E75">
        <w:t>N</w:t>
      </w:r>
      <w:r w:rsidRPr="00613B31">
        <w:t>.</w:t>
      </w:r>
      <w:r w:rsidR="00853E75">
        <w:t>V</w:t>
      </w:r>
      <w:r w:rsidRPr="00613B31">
        <w:t xml:space="preserve">.; project administration, </w:t>
      </w:r>
      <w:r w:rsidR="00853E75">
        <w:t>J</w:t>
      </w:r>
      <w:r w:rsidRPr="00613B31">
        <w:t>.</w:t>
      </w:r>
      <w:r w:rsidR="00853E75">
        <w:t>J</w:t>
      </w:r>
      <w:r w:rsidRPr="00613B31">
        <w:t>. All authors have read and agreed to the published version of the manuscript.”</w:t>
      </w:r>
      <w:r w:rsidR="00A17241">
        <w:t xml:space="preserve"> </w:t>
      </w:r>
    </w:p>
    <w:p w:rsidR="00853E75" w:rsidRDefault="00853E75" w:rsidP="00FF0BD6">
      <w:pPr>
        <w:pStyle w:val="MDPI62BackMatter"/>
        <w:rPr>
          <w:b/>
        </w:rPr>
      </w:pPr>
    </w:p>
    <w:p w:rsidR="00FF0BD6" w:rsidRPr="00613B31" w:rsidRDefault="00FF0BD6" w:rsidP="00FF0BD6">
      <w:pPr>
        <w:pStyle w:val="MDPI62BackMatter"/>
      </w:pPr>
      <w:r w:rsidRPr="00613B31">
        <w:rPr>
          <w:b/>
        </w:rPr>
        <w:t>Funding:</w:t>
      </w:r>
      <w:r w:rsidR="00C838D7">
        <w:t xml:space="preserve"> The authors received no external funding for the research, authorship of this article.  </w:t>
      </w:r>
      <w:r w:rsidR="008B3639">
        <w:t xml:space="preserve"> </w:t>
      </w:r>
    </w:p>
    <w:p w:rsidR="00981349" w:rsidRPr="00B27433" w:rsidRDefault="00981349" w:rsidP="00981349">
      <w:pPr>
        <w:pStyle w:val="MDPI62BackMatter"/>
        <w:rPr>
          <w:b/>
        </w:rPr>
      </w:pPr>
      <w:bookmarkStart w:id="1" w:name="_Hlk89945590"/>
      <w:bookmarkStart w:id="2" w:name="_Hlk60054323"/>
      <w:r w:rsidRPr="00B27433">
        <w:rPr>
          <w:b/>
        </w:rPr>
        <w:t xml:space="preserve">Institutional Review Board Statement: </w:t>
      </w:r>
      <w:r w:rsidRPr="00B27433">
        <w:t>The study was conducted in accordance with the Declaration of Helsinki, and approved by the Institutional Review Board (or Ethics Committee) o</w:t>
      </w:r>
      <w:r w:rsidR="0070673D">
        <w:t>f Saint Peters University</w:t>
      </w:r>
      <w:r w:rsidRPr="00B27433">
        <w:t xml:space="preserve"> (protocol code</w:t>
      </w:r>
      <w:r w:rsidR="0070673D">
        <w:t xml:space="preserve"> ####</w:t>
      </w:r>
      <w:r w:rsidRPr="00B27433">
        <w:t xml:space="preserve"> and date of approval</w:t>
      </w:r>
      <w:r w:rsidR="0070673D">
        <w:t xml:space="preserve"> is </w:t>
      </w:r>
      <w:r w:rsidRPr="00B27433">
        <w:t>).</w:t>
      </w:r>
    </w:p>
    <w:bookmarkEnd w:id="1"/>
    <w:p w:rsidR="002969DF" w:rsidRDefault="002969DF" w:rsidP="00853E75">
      <w:pPr>
        <w:pStyle w:val="MDPI62BackMatter"/>
        <w:spacing w:after="0"/>
      </w:pPr>
      <w:r w:rsidRPr="007D75A8">
        <w:rPr>
          <w:b/>
        </w:rPr>
        <w:t xml:space="preserve">Informed Consent Statement: </w:t>
      </w:r>
      <w:r w:rsidR="000E02D7">
        <w:t>Not applicable</w:t>
      </w:r>
      <w:r w:rsidRPr="007D75A8">
        <w:t xml:space="preserve"> </w:t>
      </w:r>
    </w:p>
    <w:p w:rsidR="00853E75" w:rsidRPr="007D75A8" w:rsidRDefault="00853E75" w:rsidP="00853E75">
      <w:pPr>
        <w:pStyle w:val="MDPI62BackMatter"/>
        <w:spacing w:after="0"/>
      </w:pPr>
    </w:p>
    <w:bookmarkEnd w:id="2"/>
    <w:p w:rsidR="00027FFA" w:rsidRPr="00027FFA" w:rsidRDefault="00027FFA" w:rsidP="00027FFA">
      <w:pPr>
        <w:pStyle w:val="MDPI62BackMatter"/>
      </w:pPr>
      <w:r w:rsidRPr="00027FFA">
        <w:rPr>
          <w:b/>
        </w:rPr>
        <w:t>Data Availability Statement:</w:t>
      </w:r>
      <w:r w:rsidRPr="00027FFA">
        <w:t xml:space="preserve"> </w:t>
      </w:r>
      <w:r w:rsidR="00360158">
        <w:t xml:space="preserve">The dataset used for this study is publicly available at </w:t>
      </w:r>
      <w:r w:rsidR="00360158">
        <w:br/>
      </w:r>
      <w:hyperlink r:id="rId12" w:history="1">
        <w:r w:rsidR="00360158" w:rsidRPr="00360158">
          <w:rPr>
            <w:rStyle w:val="Hyperlink"/>
          </w:rPr>
          <w:t>https://data.cms.gov/provider-data/dataset/ynj2-r877</w:t>
        </w:r>
      </w:hyperlink>
    </w:p>
    <w:p w:rsidR="00FF0BD6" w:rsidRPr="00613B31" w:rsidRDefault="00FF0BD6" w:rsidP="00FF0BD6">
      <w:pPr>
        <w:pStyle w:val="MDPI62BackMatter"/>
      </w:pPr>
      <w:r w:rsidRPr="00613B31">
        <w:rPr>
          <w:b/>
        </w:rPr>
        <w:t>Acknowledgments:</w:t>
      </w:r>
      <w:r w:rsidRPr="00613B31">
        <w:t xml:space="preserve"> </w:t>
      </w:r>
      <w:r w:rsidR="00360158">
        <w:t>The authors acknowledge the administrative and technical support provided by Saint Peters University and our professor Mastouri Reda</w:t>
      </w:r>
    </w:p>
    <w:p w:rsidR="00FF0BD6" w:rsidRPr="00613B31" w:rsidRDefault="00FF0BD6" w:rsidP="00FF0BD6">
      <w:pPr>
        <w:pStyle w:val="MDPI62BackMatter"/>
      </w:pPr>
      <w:r w:rsidRPr="00613B31">
        <w:rPr>
          <w:b/>
        </w:rPr>
        <w:t>Conflicts of Interest:</w:t>
      </w:r>
      <w:r w:rsidRPr="00613B31">
        <w:t xml:space="preserve"> </w:t>
      </w:r>
      <w:r w:rsidR="00360158">
        <w:t xml:space="preserve">There are no funders for this study. </w:t>
      </w:r>
      <w:r w:rsidRPr="00613B31">
        <w:t xml:space="preserve">The </w:t>
      </w:r>
      <w:r w:rsidR="0066549E">
        <w:t xml:space="preserve">authors declare no conflicts of </w:t>
      </w:r>
      <w:r w:rsidRPr="00613B31">
        <w:t>interest</w:t>
      </w:r>
    </w:p>
    <w:p w:rsidR="00FF0BD6" w:rsidRPr="00FA04F1" w:rsidRDefault="00FF0BD6" w:rsidP="001A242A">
      <w:pPr>
        <w:pStyle w:val="MDPI21heading1"/>
        <w:ind w:left="0"/>
      </w:pPr>
      <w:r w:rsidRPr="00FA04F1">
        <w:t>References</w:t>
      </w:r>
    </w:p>
    <w:p w:rsidR="00FF0BD6" w:rsidRPr="00325902" w:rsidRDefault="00FF0BD6" w:rsidP="008F2374">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FF0BD6" w:rsidRPr="00325902" w:rsidRDefault="00FF0BD6" w:rsidP="008F2374">
      <w:pPr>
        <w:pStyle w:val="MDPI71References"/>
        <w:numPr>
          <w:ilvl w:val="0"/>
          <w:numId w:val="0"/>
        </w:numPr>
        <w:ind w:left="425"/>
      </w:pPr>
    </w:p>
    <w:p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r w:rsidR="00FF0BD6" w:rsidRPr="00325902">
        <w:t xml:space="preserve">provided that they also appear in the reference list here. </w:t>
      </w:r>
    </w:p>
    <w:p w:rsidR="00FF0BD6" w:rsidRPr="00325902" w:rsidRDefault="00FF0BD6" w:rsidP="008F2374">
      <w:pPr>
        <w:pStyle w:val="MDPI71References"/>
        <w:numPr>
          <w:ilvl w:val="0"/>
          <w:numId w:val="0"/>
        </w:numPr>
        <w:ind w:left="425"/>
      </w:pPr>
    </w:p>
    <w:p w:rsidR="00FF0BD6" w:rsidRPr="00325902" w:rsidRDefault="00FF0BD6" w:rsidP="008F2374">
      <w:pPr>
        <w:pStyle w:val="MDPI71References"/>
        <w:numPr>
          <w:ilvl w:val="0"/>
          <w:numId w:val="0"/>
        </w:numPr>
        <w:ind w:left="425"/>
      </w:pPr>
      <w:r w:rsidRPr="00325902">
        <w:t>In the text, reference numbers should be placed in square brackets [ ]</w:t>
      </w:r>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rsidR="00FF0BD6" w:rsidRPr="00325902" w:rsidRDefault="00FF0BD6" w:rsidP="008F2374">
      <w:pPr>
        <w:pStyle w:val="MDPI71References"/>
        <w:numPr>
          <w:ilvl w:val="0"/>
          <w:numId w:val="0"/>
        </w:numPr>
        <w:ind w:left="425"/>
      </w:pPr>
    </w:p>
    <w:p w:rsidR="00FF0BD6" w:rsidRDefault="00322035" w:rsidP="00FF0BD6">
      <w:pPr>
        <w:pStyle w:val="MDPI71References"/>
        <w:numPr>
          <w:ilvl w:val="0"/>
          <w:numId w:val="11"/>
        </w:numPr>
        <w:ind w:left="425" w:hanging="425"/>
      </w:pPr>
      <w:r w:rsidRPr="00ED2127">
        <w:rPr>
          <w:rFonts w:ascii="Times New Roman" w:hAnsi="Times New Roman"/>
        </w:rPr>
        <w:t>Smilowitz, N. R., Banco, D., Katz, S. D., Beckman, J. A., &amp; Berger, J. S. (2021). Association between heart failure and perioperative outcomes in patients undergoing non-cardiac surgery. European Heart Journal - Quality of Care and Clinical Outcomes, 7(1), 68–75</w:t>
      </w:r>
    </w:p>
    <w:p w:rsidR="00FF0BD6" w:rsidRDefault="00322035" w:rsidP="00FF0BD6">
      <w:pPr>
        <w:pStyle w:val="MDPI71References"/>
        <w:numPr>
          <w:ilvl w:val="0"/>
          <w:numId w:val="11"/>
        </w:numPr>
        <w:ind w:left="425" w:hanging="425"/>
      </w:pPr>
      <w:r w:rsidRPr="00ED2127">
        <w:rPr>
          <w:rFonts w:ascii="Times New Roman" w:hAnsi="Times New Roman"/>
        </w:rPr>
        <w:t>Miyake, K., Iwagami, M., Ohtake, T., Moriya, H., Kume, N., Murata, T., Nishida, T., Mochida, Y., Isogai, N., Ishioka, K., Shimoyama, R., Hidaka. (2020). Association of pre-operative chronic kidney disease and acute kidney injury with in-hospital outcomes of emergency colorectal surgery: A cohort study. World Journal of Emergency Surgery, 15(1)</w:t>
      </w:r>
    </w:p>
    <w:p w:rsidR="00FF0BD6" w:rsidRPr="00325902" w:rsidRDefault="00322035" w:rsidP="00FF0BD6">
      <w:pPr>
        <w:pStyle w:val="MDPI71References"/>
        <w:numPr>
          <w:ilvl w:val="0"/>
          <w:numId w:val="3"/>
        </w:numPr>
        <w:ind w:left="425" w:hanging="425"/>
      </w:pPr>
      <w:r w:rsidRPr="00ED2127">
        <w:rPr>
          <w:rFonts w:ascii="Times New Roman" w:hAnsi="Times New Roman"/>
        </w:rPr>
        <w:t>Castro-Dominguez, Y. S., Wang, Y., Minges, K. E., (2021). Predicting In-Hospital Mortality in Patients Undergoing Percutaneous Coronary Intervention. Journal of the American College of Cardiology, 78(3)</w:t>
      </w:r>
      <w:r w:rsidR="00FF0BD6" w:rsidRPr="00325902">
        <w:t>.</w:t>
      </w:r>
    </w:p>
    <w:p w:rsidR="00FF0BD6" w:rsidRPr="00325902" w:rsidRDefault="00FF0BD6" w:rsidP="00FF0BD6">
      <w:pPr>
        <w:pStyle w:val="MDPI71References"/>
        <w:numPr>
          <w:ilvl w:val="0"/>
          <w:numId w:val="3"/>
        </w:numPr>
        <w:ind w:left="425" w:hanging="425"/>
      </w:pPr>
      <w:r w:rsidRPr="00325902">
        <w:t>Author 1, A.B. (University, City, State, Country); Author 2, C. (Institute, City, State, Country). Personal communication, 2012.</w:t>
      </w:r>
    </w:p>
    <w:p w:rsidR="00FF0BD6" w:rsidRPr="00325902" w:rsidRDefault="00FF0BD6" w:rsidP="00FF0BD6">
      <w:pPr>
        <w:pStyle w:val="MDPI71References"/>
        <w:numPr>
          <w:ilvl w:val="0"/>
          <w:numId w:val="3"/>
        </w:numPr>
        <w:ind w:left="425" w:hanging="425"/>
      </w:pPr>
      <w:r w:rsidRPr="00325902">
        <w:t xml:space="preserve">Author 1, A.B.; Author 2, C.D.; Author 3, E.F. Title of Presentation. </w:t>
      </w:r>
      <w:r w:rsidR="00FC5768">
        <w:t>In Proceedings of the Name of the Conference, Location of Conference, Country, Date of Conference (Day Month Year).</w:t>
      </w:r>
    </w:p>
    <w:p w:rsidR="00FF0BD6" w:rsidRPr="00325902" w:rsidRDefault="00FF0BD6" w:rsidP="00FF0BD6">
      <w:pPr>
        <w:pStyle w:val="MDPI71References"/>
        <w:numPr>
          <w:ilvl w:val="0"/>
          <w:numId w:val="3"/>
        </w:numPr>
        <w:ind w:left="425" w:hanging="425"/>
      </w:pPr>
      <w:r w:rsidRPr="00325902">
        <w:lastRenderedPageBreak/>
        <w:t>Author 1, A.B. Title of Thesis. Level of Thesis, Degree-Granting University, Location of University, Date of Completion.</w:t>
      </w:r>
    </w:p>
    <w:p w:rsidR="00027FFA" w:rsidRDefault="00FF0BD6" w:rsidP="00FF0BD6">
      <w:pPr>
        <w:pStyle w:val="MDPI71References"/>
        <w:numPr>
          <w:ilvl w:val="0"/>
          <w:numId w:val="3"/>
        </w:numPr>
        <w:ind w:left="425" w:hanging="425"/>
      </w:pPr>
      <w:r w:rsidRPr="00325902">
        <w:t>Title of Site. Available online: URL (accessed on Day Month Year).</w:t>
      </w:r>
    </w:p>
    <w:p w:rsidR="00FF0BD6" w:rsidRPr="00027FFA" w:rsidRDefault="00027FFA" w:rsidP="00027FFA">
      <w:pPr>
        <w:pStyle w:val="MDPI63Notes"/>
      </w:pPr>
      <w:r w:rsidRPr="00027FFA">
        <w:rPr>
          <w:b/>
        </w:rPr>
        <w:t>Disclaimer/Publisher’s Note:</w:t>
      </w:r>
      <w:r w:rsidRPr="00027FF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0BD6" w:rsidRPr="00027FFA" w:rsidSect="000F0081">
      <w:headerReference w:type="even" r:id="rId13"/>
      <w:headerReference w:type="default" r:id="rId14"/>
      <w:headerReference w:type="first" r:id="rId15"/>
      <w:footerReference w:type="first" r:id="rId16"/>
      <w:type w:val="continuous"/>
      <w:pgSz w:w="16838" w:h="11906" w:orient="landscape" w:code="9"/>
      <w:pgMar w:top="720" w:right="1417" w:bottom="720" w:left="1077"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7D29" w:rsidRDefault="004F7D29">
      <w:pPr>
        <w:spacing w:line="240" w:lineRule="auto"/>
      </w:pPr>
      <w:r>
        <w:separator/>
      </w:r>
    </w:p>
  </w:endnote>
  <w:endnote w:type="continuationSeparator" w:id="0">
    <w:p w:rsidR="004F7D29" w:rsidRDefault="004F7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E301E2">
      <w:rPr>
        <w:b/>
        <w:bCs/>
        <w:iCs/>
        <w:sz w:val="16"/>
        <w:szCs w:val="16"/>
      </w:rPr>
      <w:t>2024</w:t>
    </w:r>
    <w:r w:rsidR="0041236F" w:rsidRPr="0041236F">
      <w:rPr>
        <w:bCs/>
        <w:iCs/>
        <w:sz w:val="16"/>
        <w:szCs w:val="16"/>
      </w:rPr>
      <w:t>,</w:t>
    </w:r>
    <w:r w:rsidR="00E301E2">
      <w:rPr>
        <w:bCs/>
        <w:i/>
        <w:iCs/>
        <w:sz w:val="16"/>
        <w:szCs w:val="16"/>
      </w:rPr>
      <w:t xml:space="preserve"> 14</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7D29" w:rsidRDefault="004F7D29">
      <w:pPr>
        <w:spacing w:line="240" w:lineRule="auto"/>
      </w:pPr>
      <w:r>
        <w:separator/>
      </w:r>
    </w:p>
  </w:footnote>
  <w:footnote w:type="continuationSeparator" w:id="0">
    <w:p w:rsidR="004F7D29" w:rsidRDefault="004F7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5BA" w:rsidRDefault="0067215B" w:rsidP="00532CFE">
    <w:pPr>
      <w:tabs>
        <w:tab w:val="right" w:pos="10466"/>
      </w:tabs>
      <w:adjustRightInd w:val="0"/>
      <w:snapToGrid w:val="0"/>
      <w:spacing w:line="240" w:lineRule="auto"/>
      <w:rPr>
        <w:sz w:val="16"/>
      </w:rPr>
    </w:pPr>
    <w:r>
      <w:rPr>
        <w:i/>
        <w:sz w:val="16"/>
      </w:rPr>
      <w:t xml:space="preserve">Appl. Sci. </w:t>
    </w:r>
    <w:r w:rsidR="00E301E2">
      <w:rPr>
        <w:b/>
        <w:sz w:val="16"/>
      </w:rPr>
      <w:t>2024</w:t>
    </w:r>
    <w:r w:rsidR="0041236F" w:rsidRPr="0041236F">
      <w:rPr>
        <w:sz w:val="16"/>
      </w:rPr>
      <w:t>,</w:t>
    </w:r>
    <w:r w:rsidR="00E301E2">
      <w:rPr>
        <w:i/>
        <w:sz w:val="16"/>
      </w:rPr>
      <w:t xml:space="preserve"> 14</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rsidTr="00AC5CA0">
      <w:trPr>
        <w:trHeight w:val="686"/>
      </w:trPr>
      <w:tc>
        <w:tcPr>
          <w:tcW w:w="3679" w:type="dxa"/>
          <w:shd w:val="clear" w:color="auto" w:fill="auto"/>
          <w:vAlign w:val="center"/>
        </w:tcPr>
        <w:p w:rsidR="002D55BA" w:rsidRPr="008C41A6" w:rsidRDefault="00A44F77" w:rsidP="00532CFE">
          <w:pPr>
            <w:pStyle w:val="Header"/>
            <w:pBdr>
              <w:bottom w:val="none" w:sz="0" w:space="0" w:color="auto"/>
            </w:pBdr>
            <w:jc w:val="left"/>
            <w:rPr>
              <w:rFonts w:eastAsia="DengXian"/>
              <w:b/>
              <w:bCs/>
            </w:rPr>
          </w:pPr>
          <w:r w:rsidRPr="008C41A6">
            <w:rPr>
              <w:rFonts w:eastAsia="DengXian"/>
              <w:b/>
              <w:bCs/>
            </w:rPr>
            <w:drawing>
              <wp:inline distT="0" distB="0" distL="0" distR="0" wp14:anchorId="44F42F89" wp14:editId="66D08338">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rsidR="002D55BA" w:rsidRPr="008C41A6" w:rsidRDefault="00AC5CA0" w:rsidP="00AC5CA0">
          <w:pPr>
            <w:pStyle w:val="Header"/>
            <w:pBdr>
              <w:bottom w:val="none" w:sz="0" w:space="0" w:color="auto"/>
            </w:pBdr>
            <w:jc w:val="right"/>
            <w:rPr>
              <w:rFonts w:eastAsia="DengXian"/>
              <w:b/>
              <w:bCs/>
            </w:rPr>
          </w:pPr>
          <w:r>
            <w:rPr>
              <w:rFonts w:eastAsia="DengXian"/>
              <w:b/>
              <w:bCs/>
            </w:rPr>
            <w:drawing>
              <wp:inline distT="0" distB="0" distL="0" distR="0" wp14:anchorId="506DAE6C" wp14:editId="330C284F">
                <wp:extent cx="540000" cy="360000"/>
                <wp:effectExtent l="0" t="0" r="0" b="2540"/>
                <wp:docPr id="1678112034" name="Picture 1"/>
                <wp:cNvGraphicFramePr/>
                <a:graphic xmlns:a="http://schemas.openxmlformats.org/drawingml/2006/main">
                  <a:graphicData uri="http://schemas.openxmlformats.org/drawingml/2006/picture">
                    <pic:pic xmlns:pic="http://schemas.openxmlformats.org/drawingml/2006/picture">
                      <pic:nvPicPr>
                        <pic:cNvPr id="1678112034" name=""/>
                        <pic:cNvPicPr/>
                      </pic:nvPicPr>
                      <pic:blipFill>
                        <a:blip r:embed="rId2"/>
                        <a:stretch>
                          <a:fillRect/>
                        </a:stretch>
                      </pic:blipFill>
                      <pic:spPr>
                        <a:xfrm>
                          <a:off x="0" y="0"/>
                          <a:ext cx="540000" cy="360000"/>
                        </a:xfrm>
                        <a:prstGeom prst="rect">
                          <a:avLst/>
                        </a:prstGeom>
                      </pic:spPr>
                    </pic:pic>
                  </a:graphicData>
                </a:graphic>
              </wp:inline>
            </w:drawing>
          </w:r>
        </w:p>
      </w:tc>
    </w:tr>
  </w:tbl>
  <w:p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F04"/>
    <w:multiLevelType w:val="hybridMultilevel"/>
    <w:tmpl w:val="A106D3DE"/>
    <w:lvl w:ilvl="0" w:tplc="40090001">
      <w:start w:val="1"/>
      <w:numFmt w:val="bullet"/>
      <w:lvlText w:val=""/>
      <w:lvlJc w:val="left"/>
      <w:pPr>
        <w:ind w:left="3753" w:hanging="360"/>
      </w:pPr>
      <w:rPr>
        <w:rFonts w:ascii="Symbol" w:hAnsi="Symbol" w:hint="default"/>
      </w:rPr>
    </w:lvl>
    <w:lvl w:ilvl="1" w:tplc="40090003" w:tentative="1">
      <w:start w:val="1"/>
      <w:numFmt w:val="bullet"/>
      <w:lvlText w:val="o"/>
      <w:lvlJc w:val="left"/>
      <w:pPr>
        <w:ind w:left="4473" w:hanging="360"/>
      </w:pPr>
      <w:rPr>
        <w:rFonts w:ascii="Courier New" w:hAnsi="Courier New" w:cs="Courier New" w:hint="default"/>
      </w:rPr>
    </w:lvl>
    <w:lvl w:ilvl="2" w:tplc="40090005" w:tentative="1">
      <w:start w:val="1"/>
      <w:numFmt w:val="bullet"/>
      <w:lvlText w:val=""/>
      <w:lvlJc w:val="left"/>
      <w:pPr>
        <w:ind w:left="5193" w:hanging="360"/>
      </w:pPr>
      <w:rPr>
        <w:rFonts w:ascii="Wingdings" w:hAnsi="Wingdings" w:hint="default"/>
      </w:rPr>
    </w:lvl>
    <w:lvl w:ilvl="3" w:tplc="40090001" w:tentative="1">
      <w:start w:val="1"/>
      <w:numFmt w:val="bullet"/>
      <w:lvlText w:val=""/>
      <w:lvlJc w:val="left"/>
      <w:pPr>
        <w:ind w:left="5913" w:hanging="360"/>
      </w:pPr>
      <w:rPr>
        <w:rFonts w:ascii="Symbol" w:hAnsi="Symbol" w:hint="default"/>
      </w:rPr>
    </w:lvl>
    <w:lvl w:ilvl="4" w:tplc="40090003" w:tentative="1">
      <w:start w:val="1"/>
      <w:numFmt w:val="bullet"/>
      <w:lvlText w:val="o"/>
      <w:lvlJc w:val="left"/>
      <w:pPr>
        <w:ind w:left="6633" w:hanging="360"/>
      </w:pPr>
      <w:rPr>
        <w:rFonts w:ascii="Courier New" w:hAnsi="Courier New" w:cs="Courier New" w:hint="default"/>
      </w:rPr>
    </w:lvl>
    <w:lvl w:ilvl="5" w:tplc="40090005" w:tentative="1">
      <w:start w:val="1"/>
      <w:numFmt w:val="bullet"/>
      <w:lvlText w:val=""/>
      <w:lvlJc w:val="left"/>
      <w:pPr>
        <w:ind w:left="7353" w:hanging="360"/>
      </w:pPr>
      <w:rPr>
        <w:rFonts w:ascii="Wingdings" w:hAnsi="Wingdings" w:hint="default"/>
      </w:rPr>
    </w:lvl>
    <w:lvl w:ilvl="6" w:tplc="40090001" w:tentative="1">
      <w:start w:val="1"/>
      <w:numFmt w:val="bullet"/>
      <w:lvlText w:val=""/>
      <w:lvlJc w:val="left"/>
      <w:pPr>
        <w:ind w:left="8073" w:hanging="360"/>
      </w:pPr>
      <w:rPr>
        <w:rFonts w:ascii="Symbol" w:hAnsi="Symbol" w:hint="default"/>
      </w:rPr>
    </w:lvl>
    <w:lvl w:ilvl="7" w:tplc="40090003" w:tentative="1">
      <w:start w:val="1"/>
      <w:numFmt w:val="bullet"/>
      <w:lvlText w:val="o"/>
      <w:lvlJc w:val="left"/>
      <w:pPr>
        <w:ind w:left="8793" w:hanging="360"/>
      </w:pPr>
      <w:rPr>
        <w:rFonts w:ascii="Courier New" w:hAnsi="Courier New" w:cs="Courier New" w:hint="default"/>
      </w:rPr>
    </w:lvl>
    <w:lvl w:ilvl="8" w:tplc="40090005" w:tentative="1">
      <w:start w:val="1"/>
      <w:numFmt w:val="bullet"/>
      <w:lvlText w:val=""/>
      <w:lvlJc w:val="left"/>
      <w:pPr>
        <w:ind w:left="9513" w:hanging="360"/>
      </w:pPr>
      <w:rPr>
        <w:rFonts w:ascii="Wingdings" w:hAnsi="Wingdings" w:hint="default"/>
      </w:rPr>
    </w:lvl>
  </w:abstractNum>
  <w:abstractNum w:abstractNumId="1" w15:restartNumberingAfterBreak="0">
    <w:nsid w:val="099F3A9C"/>
    <w:multiLevelType w:val="hybridMultilevel"/>
    <w:tmpl w:val="56C674B0"/>
    <w:lvl w:ilvl="0" w:tplc="6E58A452">
      <w:start w:val="1"/>
      <w:numFmt w:val="decimal"/>
      <w:lvlText w:val="%1."/>
      <w:lvlJc w:val="left"/>
      <w:pPr>
        <w:ind w:left="3393" w:hanging="360"/>
      </w:pPr>
      <w:rPr>
        <w:rFonts w:hint="default"/>
      </w:rPr>
    </w:lvl>
    <w:lvl w:ilvl="1" w:tplc="40090019" w:tentative="1">
      <w:start w:val="1"/>
      <w:numFmt w:val="lowerLetter"/>
      <w:lvlText w:val="%2."/>
      <w:lvlJc w:val="left"/>
      <w:pPr>
        <w:ind w:left="4113" w:hanging="360"/>
      </w:pPr>
    </w:lvl>
    <w:lvl w:ilvl="2" w:tplc="4009001B" w:tentative="1">
      <w:start w:val="1"/>
      <w:numFmt w:val="lowerRoman"/>
      <w:lvlText w:val="%3."/>
      <w:lvlJc w:val="right"/>
      <w:pPr>
        <w:ind w:left="4833" w:hanging="180"/>
      </w:pPr>
    </w:lvl>
    <w:lvl w:ilvl="3" w:tplc="4009000F" w:tentative="1">
      <w:start w:val="1"/>
      <w:numFmt w:val="decimal"/>
      <w:lvlText w:val="%4."/>
      <w:lvlJc w:val="left"/>
      <w:pPr>
        <w:ind w:left="5553" w:hanging="360"/>
      </w:pPr>
    </w:lvl>
    <w:lvl w:ilvl="4" w:tplc="40090019" w:tentative="1">
      <w:start w:val="1"/>
      <w:numFmt w:val="lowerLetter"/>
      <w:lvlText w:val="%5."/>
      <w:lvlJc w:val="left"/>
      <w:pPr>
        <w:ind w:left="6273" w:hanging="360"/>
      </w:pPr>
    </w:lvl>
    <w:lvl w:ilvl="5" w:tplc="4009001B" w:tentative="1">
      <w:start w:val="1"/>
      <w:numFmt w:val="lowerRoman"/>
      <w:lvlText w:val="%6."/>
      <w:lvlJc w:val="right"/>
      <w:pPr>
        <w:ind w:left="6993" w:hanging="180"/>
      </w:pPr>
    </w:lvl>
    <w:lvl w:ilvl="6" w:tplc="4009000F" w:tentative="1">
      <w:start w:val="1"/>
      <w:numFmt w:val="decimal"/>
      <w:lvlText w:val="%7."/>
      <w:lvlJc w:val="left"/>
      <w:pPr>
        <w:ind w:left="7713" w:hanging="360"/>
      </w:pPr>
    </w:lvl>
    <w:lvl w:ilvl="7" w:tplc="40090019" w:tentative="1">
      <w:start w:val="1"/>
      <w:numFmt w:val="lowerLetter"/>
      <w:lvlText w:val="%8."/>
      <w:lvlJc w:val="left"/>
      <w:pPr>
        <w:ind w:left="8433" w:hanging="360"/>
      </w:pPr>
    </w:lvl>
    <w:lvl w:ilvl="8" w:tplc="4009001B" w:tentative="1">
      <w:start w:val="1"/>
      <w:numFmt w:val="lowerRoman"/>
      <w:lvlText w:val="%9."/>
      <w:lvlJc w:val="right"/>
      <w:pPr>
        <w:ind w:left="9153" w:hanging="180"/>
      </w:pPr>
    </w:lvl>
  </w:abstractNum>
  <w:abstractNum w:abstractNumId="2"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2A623358"/>
    <w:multiLevelType w:val="hybridMultilevel"/>
    <w:tmpl w:val="63F07CDE"/>
    <w:lvl w:ilvl="0" w:tplc="40090001">
      <w:start w:val="1"/>
      <w:numFmt w:val="bullet"/>
      <w:lvlText w:val=""/>
      <w:lvlJc w:val="left"/>
      <w:pPr>
        <w:ind w:left="3753" w:hanging="360"/>
      </w:pPr>
      <w:rPr>
        <w:rFonts w:ascii="Symbol" w:hAnsi="Symbol" w:hint="default"/>
      </w:rPr>
    </w:lvl>
    <w:lvl w:ilvl="1" w:tplc="40090003" w:tentative="1">
      <w:start w:val="1"/>
      <w:numFmt w:val="bullet"/>
      <w:lvlText w:val="o"/>
      <w:lvlJc w:val="left"/>
      <w:pPr>
        <w:ind w:left="4473" w:hanging="360"/>
      </w:pPr>
      <w:rPr>
        <w:rFonts w:ascii="Courier New" w:hAnsi="Courier New" w:cs="Courier New" w:hint="default"/>
      </w:rPr>
    </w:lvl>
    <w:lvl w:ilvl="2" w:tplc="40090005" w:tentative="1">
      <w:start w:val="1"/>
      <w:numFmt w:val="bullet"/>
      <w:lvlText w:val=""/>
      <w:lvlJc w:val="left"/>
      <w:pPr>
        <w:ind w:left="5193" w:hanging="360"/>
      </w:pPr>
      <w:rPr>
        <w:rFonts w:ascii="Wingdings" w:hAnsi="Wingdings" w:hint="default"/>
      </w:rPr>
    </w:lvl>
    <w:lvl w:ilvl="3" w:tplc="40090001" w:tentative="1">
      <w:start w:val="1"/>
      <w:numFmt w:val="bullet"/>
      <w:lvlText w:val=""/>
      <w:lvlJc w:val="left"/>
      <w:pPr>
        <w:ind w:left="5913" w:hanging="360"/>
      </w:pPr>
      <w:rPr>
        <w:rFonts w:ascii="Symbol" w:hAnsi="Symbol" w:hint="default"/>
      </w:rPr>
    </w:lvl>
    <w:lvl w:ilvl="4" w:tplc="40090003" w:tentative="1">
      <w:start w:val="1"/>
      <w:numFmt w:val="bullet"/>
      <w:lvlText w:val="o"/>
      <w:lvlJc w:val="left"/>
      <w:pPr>
        <w:ind w:left="6633" w:hanging="360"/>
      </w:pPr>
      <w:rPr>
        <w:rFonts w:ascii="Courier New" w:hAnsi="Courier New" w:cs="Courier New" w:hint="default"/>
      </w:rPr>
    </w:lvl>
    <w:lvl w:ilvl="5" w:tplc="40090005" w:tentative="1">
      <w:start w:val="1"/>
      <w:numFmt w:val="bullet"/>
      <w:lvlText w:val=""/>
      <w:lvlJc w:val="left"/>
      <w:pPr>
        <w:ind w:left="7353" w:hanging="360"/>
      </w:pPr>
      <w:rPr>
        <w:rFonts w:ascii="Wingdings" w:hAnsi="Wingdings" w:hint="default"/>
      </w:rPr>
    </w:lvl>
    <w:lvl w:ilvl="6" w:tplc="40090001" w:tentative="1">
      <w:start w:val="1"/>
      <w:numFmt w:val="bullet"/>
      <w:lvlText w:val=""/>
      <w:lvlJc w:val="left"/>
      <w:pPr>
        <w:ind w:left="8073" w:hanging="360"/>
      </w:pPr>
      <w:rPr>
        <w:rFonts w:ascii="Symbol" w:hAnsi="Symbol" w:hint="default"/>
      </w:rPr>
    </w:lvl>
    <w:lvl w:ilvl="7" w:tplc="40090003" w:tentative="1">
      <w:start w:val="1"/>
      <w:numFmt w:val="bullet"/>
      <w:lvlText w:val="o"/>
      <w:lvlJc w:val="left"/>
      <w:pPr>
        <w:ind w:left="8793" w:hanging="360"/>
      </w:pPr>
      <w:rPr>
        <w:rFonts w:ascii="Courier New" w:hAnsi="Courier New" w:cs="Courier New" w:hint="default"/>
      </w:rPr>
    </w:lvl>
    <w:lvl w:ilvl="8" w:tplc="40090005" w:tentative="1">
      <w:start w:val="1"/>
      <w:numFmt w:val="bullet"/>
      <w:lvlText w:val=""/>
      <w:lvlJc w:val="left"/>
      <w:pPr>
        <w:ind w:left="9513" w:hanging="360"/>
      </w:pPr>
      <w:rPr>
        <w:rFonts w:ascii="Wingdings" w:hAnsi="Wingdings" w:hint="default"/>
      </w:rPr>
    </w:lvl>
  </w:abstractNum>
  <w:abstractNum w:abstractNumId="10" w15:restartNumberingAfterBreak="0">
    <w:nsid w:val="30A5762E"/>
    <w:multiLevelType w:val="hybridMultilevel"/>
    <w:tmpl w:val="CF5EC598"/>
    <w:lvl w:ilvl="0" w:tplc="40090001">
      <w:start w:val="1"/>
      <w:numFmt w:val="bullet"/>
      <w:lvlText w:val=""/>
      <w:lvlJc w:val="left"/>
      <w:pPr>
        <w:ind w:left="3930" w:hanging="360"/>
      </w:pPr>
      <w:rPr>
        <w:rFonts w:ascii="Symbol" w:hAnsi="Symbol"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E5077"/>
    <w:multiLevelType w:val="hybridMultilevel"/>
    <w:tmpl w:val="761A1F14"/>
    <w:lvl w:ilvl="0" w:tplc="40090001">
      <w:start w:val="1"/>
      <w:numFmt w:val="bullet"/>
      <w:lvlText w:val=""/>
      <w:lvlJc w:val="left"/>
      <w:pPr>
        <w:ind w:left="3753" w:hanging="360"/>
      </w:pPr>
      <w:rPr>
        <w:rFonts w:ascii="Symbol" w:hAnsi="Symbol" w:hint="default"/>
      </w:rPr>
    </w:lvl>
    <w:lvl w:ilvl="1" w:tplc="40090003" w:tentative="1">
      <w:start w:val="1"/>
      <w:numFmt w:val="bullet"/>
      <w:lvlText w:val="o"/>
      <w:lvlJc w:val="left"/>
      <w:pPr>
        <w:ind w:left="4473" w:hanging="360"/>
      </w:pPr>
      <w:rPr>
        <w:rFonts w:ascii="Courier New" w:hAnsi="Courier New" w:cs="Courier New" w:hint="default"/>
      </w:rPr>
    </w:lvl>
    <w:lvl w:ilvl="2" w:tplc="40090005" w:tentative="1">
      <w:start w:val="1"/>
      <w:numFmt w:val="bullet"/>
      <w:lvlText w:val=""/>
      <w:lvlJc w:val="left"/>
      <w:pPr>
        <w:ind w:left="5193" w:hanging="360"/>
      </w:pPr>
      <w:rPr>
        <w:rFonts w:ascii="Wingdings" w:hAnsi="Wingdings" w:hint="default"/>
      </w:rPr>
    </w:lvl>
    <w:lvl w:ilvl="3" w:tplc="40090001" w:tentative="1">
      <w:start w:val="1"/>
      <w:numFmt w:val="bullet"/>
      <w:lvlText w:val=""/>
      <w:lvlJc w:val="left"/>
      <w:pPr>
        <w:ind w:left="5913" w:hanging="360"/>
      </w:pPr>
      <w:rPr>
        <w:rFonts w:ascii="Symbol" w:hAnsi="Symbol" w:hint="default"/>
      </w:rPr>
    </w:lvl>
    <w:lvl w:ilvl="4" w:tplc="40090003" w:tentative="1">
      <w:start w:val="1"/>
      <w:numFmt w:val="bullet"/>
      <w:lvlText w:val="o"/>
      <w:lvlJc w:val="left"/>
      <w:pPr>
        <w:ind w:left="6633" w:hanging="360"/>
      </w:pPr>
      <w:rPr>
        <w:rFonts w:ascii="Courier New" w:hAnsi="Courier New" w:cs="Courier New" w:hint="default"/>
      </w:rPr>
    </w:lvl>
    <w:lvl w:ilvl="5" w:tplc="40090005" w:tentative="1">
      <w:start w:val="1"/>
      <w:numFmt w:val="bullet"/>
      <w:lvlText w:val=""/>
      <w:lvlJc w:val="left"/>
      <w:pPr>
        <w:ind w:left="7353" w:hanging="360"/>
      </w:pPr>
      <w:rPr>
        <w:rFonts w:ascii="Wingdings" w:hAnsi="Wingdings" w:hint="default"/>
      </w:rPr>
    </w:lvl>
    <w:lvl w:ilvl="6" w:tplc="40090001" w:tentative="1">
      <w:start w:val="1"/>
      <w:numFmt w:val="bullet"/>
      <w:lvlText w:val=""/>
      <w:lvlJc w:val="left"/>
      <w:pPr>
        <w:ind w:left="8073" w:hanging="360"/>
      </w:pPr>
      <w:rPr>
        <w:rFonts w:ascii="Symbol" w:hAnsi="Symbol" w:hint="default"/>
      </w:rPr>
    </w:lvl>
    <w:lvl w:ilvl="7" w:tplc="40090003" w:tentative="1">
      <w:start w:val="1"/>
      <w:numFmt w:val="bullet"/>
      <w:lvlText w:val="o"/>
      <w:lvlJc w:val="left"/>
      <w:pPr>
        <w:ind w:left="8793" w:hanging="360"/>
      </w:pPr>
      <w:rPr>
        <w:rFonts w:ascii="Courier New" w:hAnsi="Courier New" w:cs="Courier New" w:hint="default"/>
      </w:rPr>
    </w:lvl>
    <w:lvl w:ilvl="8" w:tplc="40090005" w:tentative="1">
      <w:start w:val="1"/>
      <w:numFmt w:val="bullet"/>
      <w:lvlText w:val=""/>
      <w:lvlJc w:val="left"/>
      <w:pPr>
        <w:ind w:left="9513" w:hanging="360"/>
      </w:pPr>
      <w:rPr>
        <w:rFonts w:ascii="Wingdings" w:hAnsi="Wingdings" w:hint="default"/>
      </w:rPr>
    </w:lvl>
  </w:abstractNum>
  <w:abstractNum w:abstractNumId="16"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67939"/>
    <w:multiLevelType w:val="hybridMultilevel"/>
    <w:tmpl w:val="85601566"/>
    <w:lvl w:ilvl="0" w:tplc="40090001">
      <w:start w:val="1"/>
      <w:numFmt w:val="bullet"/>
      <w:lvlText w:val=""/>
      <w:lvlJc w:val="left"/>
      <w:pPr>
        <w:ind w:left="3780" w:hanging="360"/>
      </w:pPr>
      <w:rPr>
        <w:rFonts w:ascii="Symbol" w:hAnsi="Symbol"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num w:numId="1" w16cid:durableId="1101419067">
    <w:abstractNumId w:val="6"/>
  </w:num>
  <w:num w:numId="2" w16cid:durableId="964117083">
    <w:abstractNumId w:val="11"/>
  </w:num>
  <w:num w:numId="3" w16cid:durableId="1567690153">
    <w:abstractNumId w:val="5"/>
  </w:num>
  <w:num w:numId="4" w16cid:durableId="617179123">
    <w:abstractNumId w:val="7"/>
  </w:num>
  <w:num w:numId="5" w16cid:durableId="2014600276">
    <w:abstractNumId w:val="13"/>
  </w:num>
  <w:num w:numId="6" w16cid:durableId="1447236061">
    <w:abstractNumId w:val="4"/>
  </w:num>
  <w:num w:numId="7" w16cid:durableId="1109279766">
    <w:abstractNumId w:val="13"/>
  </w:num>
  <w:num w:numId="8" w16cid:durableId="708142159">
    <w:abstractNumId w:val="4"/>
  </w:num>
  <w:num w:numId="9" w16cid:durableId="1544053010">
    <w:abstractNumId w:val="13"/>
  </w:num>
  <w:num w:numId="10" w16cid:durableId="1644888965">
    <w:abstractNumId w:val="4"/>
  </w:num>
  <w:num w:numId="11" w16cid:durableId="17341145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6"/>
  </w:num>
  <w:num w:numId="13" w16cid:durableId="2007049933">
    <w:abstractNumId w:val="13"/>
  </w:num>
  <w:num w:numId="14" w16cid:durableId="606699459">
    <w:abstractNumId w:val="4"/>
  </w:num>
  <w:num w:numId="15" w16cid:durableId="2145461709">
    <w:abstractNumId w:val="3"/>
  </w:num>
  <w:num w:numId="16" w16cid:durableId="1576356490">
    <w:abstractNumId w:val="12"/>
  </w:num>
  <w:num w:numId="17" w16cid:durableId="388457672">
    <w:abstractNumId w:val="2"/>
  </w:num>
  <w:num w:numId="18" w16cid:durableId="1819570726">
    <w:abstractNumId w:val="13"/>
  </w:num>
  <w:num w:numId="19" w16cid:durableId="1536504514">
    <w:abstractNumId w:val="4"/>
  </w:num>
  <w:num w:numId="20" w16cid:durableId="1118258880">
    <w:abstractNumId w:val="3"/>
  </w:num>
  <w:num w:numId="21" w16cid:durableId="1866869813">
    <w:abstractNumId w:val="2"/>
  </w:num>
  <w:num w:numId="22" w16cid:durableId="87387402">
    <w:abstractNumId w:val="8"/>
  </w:num>
  <w:num w:numId="23" w16cid:durableId="197284984">
    <w:abstractNumId w:val="14"/>
  </w:num>
  <w:num w:numId="24" w16cid:durableId="1067921802">
    <w:abstractNumId w:val="9"/>
  </w:num>
  <w:num w:numId="25" w16cid:durableId="477694659">
    <w:abstractNumId w:val="0"/>
  </w:num>
  <w:num w:numId="26" w16cid:durableId="1882209304">
    <w:abstractNumId w:val="10"/>
  </w:num>
  <w:num w:numId="27" w16cid:durableId="542866858">
    <w:abstractNumId w:val="1"/>
  </w:num>
  <w:num w:numId="28" w16cid:durableId="1833446375">
    <w:abstractNumId w:val="17"/>
  </w:num>
  <w:num w:numId="29" w16cid:durableId="1453017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5E"/>
    <w:rsid w:val="00016DAD"/>
    <w:rsid w:val="00027FFA"/>
    <w:rsid w:val="00034015"/>
    <w:rsid w:val="000C295F"/>
    <w:rsid w:val="000C776A"/>
    <w:rsid w:val="000D139F"/>
    <w:rsid w:val="000D3574"/>
    <w:rsid w:val="000E02D7"/>
    <w:rsid w:val="000E4A57"/>
    <w:rsid w:val="000F0081"/>
    <w:rsid w:val="00103DD9"/>
    <w:rsid w:val="00105DE4"/>
    <w:rsid w:val="00110C44"/>
    <w:rsid w:val="0012423C"/>
    <w:rsid w:val="001320B2"/>
    <w:rsid w:val="001353A3"/>
    <w:rsid w:val="00145C6C"/>
    <w:rsid w:val="001649FC"/>
    <w:rsid w:val="001859AC"/>
    <w:rsid w:val="00191958"/>
    <w:rsid w:val="001A242A"/>
    <w:rsid w:val="001A4927"/>
    <w:rsid w:val="001A5BA0"/>
    <w:rsid w:val="001E18D0"/>
    <w:rsid w:val="001E2AEB"/>
    <w:rsid w:val="001F373C"/>
    <w:rsid w:val="00205AE5"/>
    <w:rsid w:val="00216129"/>
    <w:rsid w:val="002254A8"/>
    <w:rsid w:val="002259EB"/>
    <w:rsid w:val="00226F74"/>
    <w:rsid w:val="002650E7"/>
    <w:rsid w:val="002671CA"/>
    <w:rsid w:val="002722EE"/>
    <w:rsid w:val="002765F1"/>
    <w:rsid w:val="002969DF"/>
    <w:rsid w:val="002A1E5F"/>
    <w:rsid w:val="002D55BA"/>
    <w:rsid w:val="002F498F"/>
    <w:rsid w:val="003156FD"/>
    <w:rsid w:val="0031744E"/>
    <w:rsid w:val="00322035"/>
    <w:rsid w:val="00326141"/>
    <w:rsid w:val="003350E5"/>
    <w:rsid w:val="00345623"/>
    <w:rsid w:val="0035340B"/>
    <w:rsid w:val="00360158"/>
    <w:rsid w:val="0036255D"/>
    <w:rsid w:val="003A5D62"/>
    <w:rsid w:val="003D0525"/>
    <w:rsid w:val="003D1B18"/>
    <w:rsid w:val="003F36C1"/>
    <w:rsid w:val="003F4D0E"/>
    <w:rsid w:val="00401D30"/>
    <w:rsid w:val="00410F35"/>
    <w:rsid w:val="0041236F"/>
    <w:rsid w:val="0041751D"/>
    <w:rsid w:val="0042329E"/>
    <w:rsid w:val="0045200E"/>
    <w:rsid w:val="00452902"/>
    <w:rsid w:val="00457A76"/>
    <w:rsid w:val="004867DA"/>
    <w:rsid w:val="00493033"/>
    <w:rsid w:val="004A7B04"/>
    <w:rsid w:val="004B489C"/>
    <w:rsid w:val="004C0CC6"/>
    <w:rsid w:val="004C207F"/>
    <w:rsid w:val="004D2716"/>
    <w:rsid w:val="004D5BEC"/>
    <w:rsid w:val="004D79C7"/>
    <w:rsid w:val="004F7D29"/>
    <w:rsid w:val="00502F97"/>
    <w:rsid w:val="0050416D"/>
    <w:rsid w:val="00525541"/>
    <w:rsid w:val="00527EA5"/>
    <w:rsid w:val="00532CFE"/>
    <w:rsid w:val="00535858"/>
    <w:rsid w:val="005614F2"/>
    <w:rsid w:val="00564626"/>
    <w:rsid w:val="0057700E"/>
    <w:rsid w:val="0057771E"/>
    <w:rsid w:val="00583C3B"/>
    <w:rsid w:val="00591CFA"/>
    <w:rsid w:val="005930C7"/>
    <w:rsid w:val="005B215D"/>
    <w:rsid w:val="005C0EAE"/>
    <w:rsid w:val="005C542D"/>
    <w:rsid w:val="005C79AC"/>
    <w:rsid w:val="005D4019"/>
    <w:rsid w:val="005E3936"/>
    <w:rsid w:val="006224DB"/>
    <w:rsid w:val="00623A78"/>
    <w:rsid w:val="006303B8"/>
    <w:rsid w:val="00630EB5"/>
    <w:rsid w:val="00655194"/>
    <w:rsid w:val="00661DCA"/>
    <w:rsid w:val="0066549E"/>
    <w:rsid w:val="0067215B"/>
    <w:rsid w:val="00690705"/>
    <w:rsid w:val="00690722"/>
    <w:rsid w:val="00692393"/>
    <w:rsid w:val="006B182F"/>
    <w:rsid w:val="006B1856"/>
    <w:rsid w:val="006D6039"/>
    <w:rsid w:val="006E5DD2"/>
    <w:rsid w:val="006F0403"/>
    <w:rsid w:val="007065E6"/>
    <w:rsid w:val="0070673D"/>
    <w:rsid w:val="00732758"/>
    <w:rsid w:val="0076255A"/>
    <w:rsid w:val="00772A13"/>
    <w:rsid w:val="0078256A"/>
    <w:rsid w:val="00790BBC"/>
    <w:rsid w:val="007A1ECD"/>
    <w:rsid w:val="007B6C39"/>
    <w:rsid w:val="007C532E"/>
    <w:rsid w:val="007E704A"/>
    <w:rsid w:val="007F2286"/>
    <w:rsid w:val="00804EE0"/>
    <w:rsid w:val="00817168"/>
    <w:rsid w:val="00832F6A"/>
    <w:rsid w:val="0083661F"/>
    <w:rsid w:val="00837252"/>
    <w:rsid w:val="00853E75"/>
    <w:rsid w:val="008836D5"/>
    <w:rsid w:val="008B011A"/>
    <w:rsid w:val="008B3639"/>
    <w:rsid w:val="008B384B"/>
    <w:rsid w:val="008C2D58"/>
    <w:rsid w:val="008C41A6"/>
    <w:rsid w:val="008E61FF"/>
    <w:rsid w:val="008F08FD"/>
    <w:rsid w:val="008F2374"/>
    <w:rsid w:val="009028E7"/>
    <w:rsid w:val="009039D6"/>
    <w:rsid w:val="00907533"/>
    <w:rsid w:val="00914E4B"/>
    <w:rsid w:val="009219B8"/>
    <w:rsid w:val="0093212C"/>
    <w:rsid w:val="009567EF"/>
    <w:rsid w:val="00981349"/>
    <w:rsid w:val="0098452D"/>
    <w:rsid w:val="00994B56"/>
    <w:rsid w:val="00996743"/>
    <w:rsid w:val="009C3665"/>
    <w:rsid w:val="009C4836"/>
    <w:rsid w:val="009D5A9B"/>
    <w:rsid w:val="009E3D8E"/>
    <w:rsid w:val="009F70E6"/>
    <w:rsid w:val="00A04886"/>
    <w:rsid w:val="00A1446C"/>
    <w:rsid w:val="00A17241"/>
    <w:rsid w:val="00A20793"/>
    <w:rsid w:val="00A237D9"/>
    <w:rsid w:val="00A426CF"/>
    <w:rsid w:val="00A44F77"/>
    <w:rsid w:val="00A631A5"/>
    <w:rsid w:val="00A929C7"/>
    <w:rsid w:val="00A95BD3"/>
    <w:rsid w:val="00AC5CA0"/>
    <w:rsid w:val="00AD3667"/>
    <w:rsid w:val="00AD375F"/>
    <w:rsid w:val="00AE1BDD"/>
    <w:rsid w:val="00AE4EA6"/>
    <w:rsid w:val="00AE6DC8"/>
    <w:rsid w:val="00AF59A1"/>
    <w:rsid w:val="00B26101"/>
    <w:rsid w:val="00B3481C"/>
    <w:rsid w:val="00B91FA6"/>
    <w:rsid w:val="00BA779B"/>
    <w:rsid w:val="00BB39F7"/>
    <w:rsid w:val="00BD1491"/>
    <w:rsid w:val="00C02026"/>
    <w:rsid w:val="00C1271D"/>
    <w:rsid w:val="00C13B6F"/>
    <w:rsid w:val="00C17083"/>
    <w:rsid w:val="00C253C4"/>
    <w:rsid w:val="00C335B9"/>
    <w:rsid w:val="00C34BE3"/>
    <w:rsid w:val="00C51207"/>
    <w:rsid w:val="00C56C95"/>
    <w:rsid w:val="00C64034"/>
    <w:rsid w:val="00C838D7"/>
    <w:rsid w:val="00C850DA"/>
    <w:rsid w:val="00CA271A"/>
    <w:rsid w:val="00CC1804"/>
    <w:rsid w:val="00CC3714"/>
    <w:rsid w:val="00CC7D3A"/>
    <w:rsid w:val="00D11046"/>
    <w:rsid w:val="00D12809"/>
    <w:rsid w:val="00D2458F"/>
    <w:rsid w:val="00D2745E"/>
    <w:rsid w:val="00D32270"/>
    <w:rsid w:val="00D328E3"/>
    <w:rsid w:val="00D37E19"/>
    <w:rsid w:val="00D4418F"/>
    <w:rsid w:val="00D60258"/>
    <w:rsid w:val="00D648D7"/>
    <w:rsid w:val="00D76CB8"/>
    <w:rsid w:val="00D91849"/>
    <w:rsid w:val="00DB5BD0"/>
    <w:rsid w:val="00DC4E4E"/>
    <w:rsid w:val="00DD4714"/>
    <w:rsid w:val="00DE56DB"/>
    <w:rsid w:val="00E04904"/>
    <w:rsid w:val="00E301E2"/>
    <w:rsid w:val="00E40A2D"/>
    <w:rsid w:val="00E50D51"/>
    <w:rsid w:val="00E7454A"/>
    <w:rsid w:val="00E74682"/>
    <w:rsid w:val="00E86BCE"/>
    <w:rsid w:val="00E96A25"/>
    <w:rsid w:val="00EB064D"/>
    <w:rsid w:val="00EB4B25"/>
    <w:rsid w:val="00ED5717"/>
    <w:rsid w:val="00EF2209"/>
    <w:rsid w:val="00EF4CBD"/>
    <w:rsid w:val="00F050BE"/>
    <w:rsid w:val="00F0572B"/>
    <w:rsid w:val="00F244AB"/>
    <w:rsid w:val="00F33DEF"/>
    <w:rsid w:val="00F475A6"/>
    <w:rsid w:val="00F65CE6"/>
    <w:rsid w:val="00F758E7"/>
    <w:rsid w:val="00FC185A"/>
    <w:rsid w:val="00FC5768"/>
    <w:rsid w:val="00FC745E"/>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8AE4A0"/>
  <w15:chartTrackingRefBased/>
  <w15:docId w15:val="{5ED44EFF-4303-4D99-83FB-7DED9C19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provider-data/dataset/ynj2-r877"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cms.gov/provider-data/dataset/ynj2-r8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jith\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496</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Jithendra Uppalapati</dc:creator>
  <cp:keywords/>
  <dc:description/>
  <cp:lastModifiedBy>Jithendra Uppalapati</cp:lastModifiedBy>
  <cp:revision>18</cp:revision>
  <dcterms:created xsi:type="dcterms:W3CDTF">2024-12-23T17:52:00Z</dcterms:created>
  <dcterms:modified xsi:type="dcterms:W3CDTF">2025-01-03T21:18:00Z</dcterms:modified>
</cp:coreProperties>
</file>