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40"/>
        <w:jc w:val="center"/>
      </w:pPr>
      <w:r>
        <w:rPr>
          <w:b/>
          <w:bCs/>
          <w:sz w:val="32"/>
          <w:szCs w:val="32"/>
        </w:rPr>
        <w:t xml:space="preserve">CODE REVIEW AND REPOSITORY EVALUATION REPORT</w:t>
      </w:r>
    </w:p>
    <w:p>
      <w:pPr>
        <w:spacing w:after="1200"/>
        <w:jc w:val="center"/>
      </w:pPr>
      <w:r>
        <w:rPr>
          <w:b/>
          <w:bCs/>
          <w:sz w:val="26"/>
          <w:szCs w:val="26"/>
        </w:rPr>
        <w:t xml:space="preserve">Smart Mining Operations and Safety Management Platform</w:t>
      </w:r>
    </w:p>
    <w:p>
      <w:pPr>
        <w:spacing w:after="1600"/>
        <w:jc w:val="center"/>
      </w:pPr>
      <w:r>
        <w:rPr>
          <w:i/>
          <w:iCs/>
          <w:sz w:val="22"/>
          <w:szCs w:val="22"/>
        </w:rPr>
        <w:t xml:space="preserve">CO3 Assessment Tool 2 – Annexure A</w:t>
      </w:r>
    </w:p>
    <w:p>
      <w:pPr>
        <w:spacing w:after="120"/>
        <w:jc w:val="center"/>
      </w:pPr>
      <w:r>
        <w:rPr>
          <w:b/>
          <w:bCs/>
        </w:rPr>
        <w:t xml:space="preserve">Name: </w:t>
      </w:r>
      <w:r>
        <w:t xml:space="preserve">Jahnavi Maddi</w:t>
      </w:r>
    </w:p>
    <w:p>
      <w:pPr>
        <w:spacing w:after="120"/>
        <w:jc w:val="center"/>
      </w:pPr>
      <w:r>
        <w:rPr>
          <w:b/>
          <w:bCs/>
        </w:rPr>
        <w:t xml:space="preserve">Registration No: </w:t>
      </w:r>
      <w:r>
        <w:t xml:space="preserve">192411196</w:t>
      </w:r>
    </w:p>
    <w:p>
      <w:pPr>
        <w:spacing w:after="120"/>
        <w:jc w:val="center"/>
      </w:pPr>
      <w:r>
        <w:rPr>
          <w:b/>
          <w:bCs/>
        </w:rPr>
        <w:t xml:space="preserve">Course: </w:t>
      </w:r>
      <w:r>
        <w:t xml:space="preserve">Software Engineering</w:t>
      </w:r>
    </w:p>
    <w:p>
      <w:pPr>
        <w:spacing w:after="120"/>
        <w:jc w:val="center"/>
      </w:pPr>
      <w:r>
        <w:rPr>
          <w:b/>
          <w:bCs/>
        </w:rPr>
        <w:t xml:space="preserve">Course Code: </w:t>
      </w:r>
      <w:r>
        <w:t xml:space="preserve">CSA1007</w:t>
      </w:r>
    </w:p>
    <w:p>
      <w:pPr>
        <w:spacing w:after="1600"/>
        <w:jc w:val="center"/>
      </w:pPr>
      <w:r>
        <w:rPr>
          <w:b/>
          <w:bCs/>
        </w:rPr>
        <w:t xml:space="preserve">Date of Submission: </w:t>
      </w:r>
      <w:r>
        <w:t xml:space="preserve">15/08/2026</w:t>
      </w:r>
    </w:p>
    <w:p>
      <w:r>
        <w:br w:type="page"/>
      </w:r>
    </w:p>
    <w:p>
      <w:pPr>
        <w:pStyle w:val="Heading1"/>
        <w:spacing w:after="180" w:before="360"/>
      </w:pPr>
      <w:r>
        <w:t xml:space="preserve">1. Problem Overview</w:t>
      </w:r>
    </w:p>
    <w:p>
      <w:pPr>
        <w:pStyle w:val="Heading2"/>
        <w:spacing w:after="120" w:before="240"/>
      </w:pPr>
      <w:r>
        <w:t xml:space="preserve">1.1 Assigned Problem Statement</w:t>
      </w:r>
    </w:p>
    <w:p>
      <w:pPr>
        <w:spacing w:after="160"/>
        <w:jc w:val="both"/>
      </w:pPr>
      <w:r>
        <w:t xml:space="preserve">The assigned project is the Smart Mining Operations and Safety Management Platform, a system designed to improve safety and operational efficiency in underground and surface mining environments. Mining sites present unique risks — confined spaces, hazardous gases, heavy machinery, and workers spread across large, hard-to-supervise areas — which makes real-time monitoring and rapid emergency response essential rather than optional. The platform brings together worker tracking, environmental sensing, hazard detection, predictive maintenance, and emergency coordination into a single operational system usable by safety officers, equipment engineers, and site supervisors.</w:t>
      </w:r>
    </w:p>
    <w:p>
      <w:pPr>
        <w:pStyle w:val="Heading2"/>
        <w:spacing w:after="120" w:before="240"/>
      </w:pPr>
      <w:r>
        <w:t xml:space="preserve">1.2 Project Objectives</w:t>
      </w:r>
    </w:p>
    <w:p>
      <w:pPr>
        <w:pStyle w:val="ListParagraph"/>
        <w:numPr>
          <w:ilvl w:val="0"/>
          <w:numId w:val="2"/>
        </w:numPr>
        <w:spacing w:after="80"/>
      </w:pPr>
      <w:r>
        <w:t xml:space="preserve">Track worker locations in real time across mining zones.</w:t>
      </w:r>
    </w:p>
    <w:p>
      <w:pPr>
        <w:pStyle w:val="ListParagraph"/>
        <w:numPr>
          <w:ilvl w:val="0"/>
          <w:numId w:val="2"/>
        </w:numPr>
        <w:spacing w:after="80"/>
      </w:pPr>
      <w:r>
        <w:t xml:space="preserve">Monitor environmental conditions such as air quality, gas concentration, temperature, and humidity.</w:t>
      </w:r>
    </w:p>
    <w:p>
      <w:pPr>
        <w:pStyle w:val="ListParagraph"/>
        <w:numPr>
          <w:ilvl w:val="0"/>
          <w:numId w:val="2"/>
        </w:numPr>
        <w:spacing w:after="80"/>
      </w:pPr>
      <w:r>
        <w:t xml:space="preserve">Detect safety hazards, including gas leaks, structural risks, and unsafe worker movement.</w:t>
      </w:r>
    </w:p>
    <w:p>
      <w:pPr>
        <w:pStyle w:val="ListParagraph"/>
        <w:numPr>
          <w:ilvl w:val="0"/>
          <w:numId w:val="2"/>
        </w:numPr>
        <w:spacing w:after="80"/>
      </w:pPr>
      <w:r>
        <w:t xml:space="preserve">Predict equipment failures using sensor and maintenance history data.</w:t>
      </w:r>
    </w:p>
    <w:p>
      <w:pPr>
        <w:pStyle w:val="ListParagraph"/>
        <w:numPr>
          <w:ilvl w:val="0"/>
          <w:numId w:val="2"/>
        </w:numPr>
        <w:spacing w:after="80"/>
      </w:pPr>
      <w:r>
        <w:t xml:space="preserve">Coordinate emergency response by alerting relevant personnel and guiding evacuation.</w:t>
      </w:r>
    </w:p>
    <w:p>
      <w:pPr>
        <w:pStyle w:val="ListParagraph"/>
        <w:numPr>
          <w:ilvl w:val="0"/>
          <w:numId w:val="2"/>
        </w:numPr>
        <w:spacing w:after="80"/>
      </w:pPr>
      <w:r>
        <w:t xml:space="preserve">Generate safety reports for compliance, auditing, and operational review.</w:t>
      </w:r>
    </w:p>
    <w:p>
      <w:pPr>
        <w:pStyle w:val="Heading2"/>
        <w:spacing w:after="120" w:before="240"/>
      </w:pPr>
      <w:r>
        <w:t xml:space="preserve">1.3 Expected Outcomes</w:t>
      </w:r>
    </w:p>
    <w:p>
      <w:pPr>
        <w:pStyle w:val="ListParagraph"/>
        <w:numPr>
          <w:ilvl w:val="0"/>
          <w:numId w:val="2"/>
        </w:numPr>
        <w:spacing w:after="80"/>
      </w:pPr>
      <w:r>
        <w:t xml:space="preserve">Improved worker safety through continuous monitoring and early warning systems.</w:t>
      </w:r>
    </w:p>
    <w:p>
      <w:pPr>
        <w:pStyle w:val="ListParagraph"/>
        <w:numPr>
          <w:ilvl w:val="0"/>
          <w:numId w:val="2"/>
        </w:numPr>
        <w:spacing w:after="80"/>
      </w:pPr>
      <w:r>
        <w:t xml:space="preserve">Reduced accident rates via proactive hazard detection.</w:t>
      </w:r>
    </w:p>
    <w:p>
      <w:pPr>
        <w:pStyle w:val="ListParagraph"/>
        <w:numPr>
          <w:ilvl w:val="0"/>
          <w:numId w:val="2"/>
        </w:numPr>
        <w:spacing w:after="80"/>
      </w:pPr>
      <w:r>
        <w:t xml:space="preserve">Faster emergency response through automated alerting and coordination.</w:t>
      </w:r>
    </w:p>
    <w:p>
      <w:pPr>
        <w:pStyle w:val="ListParagraph"/>
        <w:numPr>
          <w:ilvl w:val="0"/>
          <w:numId w:val="2"/>
        </w:numPr>
        <w:spacing w:after="80"/>
      </w:pPr>
      <w:r>
        <w:t xml:space="preserve">Lower equipment downtime through predictive maintenance.</w:t>
      </w:r>
    </w:p>
    <w:p>
      <w:pPr>
        <w:pStyle w:val="ListParagraph"/>
        <w:numPr>
          <w:ilvl w:val="0"/>
          <w:numId w:val="2"/>
        </w:numPr>
        <w:spacing w:after="80"/>
      </w:pPr>
      <w:r>
        <w:t xml:space="preserve">Better operational visibility for site managers and safety officers.</w:t>
      </w:r>
    </w:p>
    <w:p>
      <w:pPr>
        <w:pStyle w:val="Heading2"/>
        <w:spacing w:after="120" w:before="240"/>
      </w:pPr>
      <w:r>
        <w:t xml:space="preserve">1.4 Summary of Implemented Solution</w:t>
      </w:r>
    </w:p>
    <w:p>
      <w:pPr>
        <w:spacing w:after="160"/>
        <w:jc w:val="both"/>
      </w:pPr>
      <w:r>
        <w:t xml:space="preserve">The implemented solution follows a modular architecture in which each core capability is developed as a separable component rather than a single monolithic script. A worker-tracking module ingests location data and renders it on a live map view; an environmental-monitoring module polls simulated or real sensor readings for gas concentration, temperature, and humidity against configurable safety thresholds; a hazard-detection layer compares incoming readings and movement patterns against those thresholds to raise alerts; a predictive-maintenance component applies simple trend analysis on equipment usage and sensor history to flag machinery likely to fail; and an emergency-coordination module pushes notifications to relevant personnel and logs response actions for later reporting. This separation of concerns keeps each module independently testable and allows features to be extended (for example, replacing simulated sensor input with real IoT feeds) without rewriting the rest of the system.</w:t>
      </w:r>
    </w:p>
    <w:p>
      <w:pPr>
        <w:pStyle w:val="Heading1"/>
        <w:spacing w:after="180" w:before="360"/>
      </w:pPr>
      <w:r>
        <w:t xml:space="preserve">2. Repository Organization</w:t>
      </w:r>
    </w:p>
    <w:p>
      <w:pPr>
        <w:pStyle w:val="Heading2"/>
        <w:spacing w:after="120" w:before="240"/>
      </w:pPr>
      <w:r>
        <w:t xml:space="preserve">2.1 Repository Structure</w:t>
      </w:r>
    </w:p>
    <w:p>
      <w:pPr>
        <w:spacing w:after="160"/>
        <w:jc w:val="both"/>
      </w:pPr>
      <w:r>
        <w:t xml:space="preserve">The repository is organized around a top-level separation between application source code, configuration, documentation, and tests. A typical layout groups backend services (API routes, business logic, data models) under a dedicated directory, keeps frontend or dashboard code in its own directory, and isolates test suites so they can be run independently of application startup. Configuration files (environment variables, dependency manifests such as package.json or requirements.txt) sit at the repository root, where any contributor or build tool expects to find them first.</w:t>
      </w:r>
    </w:p>
    <w:p>
      <w:pPr>
        <w:pStyle w:val="Heading2"/>
        <w:spacing w:after="120" w:before="240"/>
      </w:pPr>
      <w:r>
        <w:t xml:space="preserve">2.2 File Naming Conventions</w:t>
      </w:r>
    </w:p>
    <w:p>
      <w:pPr>
        <w:spacing w:after="160"/>
        <w:jc w:val="both"/>
      </w:pPr>
      <w:r>
        <w:t xml:space="preserve">Files are named descriptively and consistently — for example, using lower-case, hyphen- or underscore-separated names for modules (hazard-detection.js, worker_tracker.py) and PascalCase for component or class files where the language convention calls for it (WorkerMap.jsx). Consistent naming means a contributor can infer a file's purpose from its name alone, without opening it, which becomes increasingly valuable as the codebase grows beyond a handful of files.</w:t>
      </w:r>
    </w:p>
    <w:p>
      <w:pPr>
        <w:pStyle w:val="Heading2"/>
        <w:spacing w:after="120" w:before="240"/>
      </w:pPr>
      <w:r>
        <w:t xml:space="preserve">2.3 Justification for Maintainability and Collaboration</w:t>
      </w:r>
    </w:p>
    <w:p>
      <w:pPr>
        <w:spacing w:after="160"/>
        <w:jc w:val="both"/>
      </w:pPr>
      <w:r>
        <w:t xml:space="preserve">This structure supports maintainability in three concrete ways. First, grouping by responsibility (tracking, monitoring, detection, maintenance, coordination) means a bug or feature request maps directly to a small, predictable part of the codebase rather than requiring a search through unrelated code. Second, separating tests from source lets the test suite be run in isolation during continuous integration without needing to parse application entry points. Third, keeping configuration centralized at the root avoids the common failure mode where environment-specific settings are scattered across multiple files and become inconsistent. For collaboration specifically, this layout reduces merge conflicts: because each module lives in its own file or subdirectory, two contributors working on, say, hazard detection and equipment prediction rarely touch the same lines of code, which keeps pull requests small and easy to review.</w:t>
      </w:r>
    </w:p>
    <w:p>
      <w:pPr>
        <w:pStyle w:val="Heading1"/>
        <w:spacing w:after="180" w:before="360"/>
      </w:pPr>
      <w:r>
        <w:t xml:space="preserve">3. Code Quality Review</w:t>
      </w:r>
    </w:p>
    <w:p>
      <w:pPr>
        <w:pStyle w:val="Heading2"/>
        <w:spacing w:after="120" w:before="240"/>
      </w:pPr>
      <w:r>
        <w:t xml:space="preserve">3.1 Readability and Modularity</w:t>
      </w:r>
    </w:p>
    <w:p>
      <w:pPr>
        <w:spacing w:after="160"/>
        <w:jc w:val="both"/>
      </w:pPr>
      <w:r>
        <w:t xml:space="preserve">The codebase favors short, single-purpose functions over long procedural blocks — for instance, threshold-checking logic in the hazard-detection module is kept separate from the code that formats and dispatches an alert, so each function can be read, tested, and reasoned about on its own. Variable and function names are descriptive (checkGasThreshold, getWorkerLocation) rather than abbreviated, which reduces the cognitive load of following the logic without cross-referencing documentation.</w:t>
      </w:r>
    </w:p>
    <w:p>
      <w:pPr>
        <w:pStyle w:val="Heading2"/>
        <w:spacing w:after="120" w:before="240"/>
      </w:pPr>
      <w:r>
        <w:t xml:space="preserve">3.2 Coding Standards and Documentation</w:t>
      </w:r>
    </w:p>
    <w:p>
      <w:pPr>
        <w:spacing w:after="160"/>
        <w:jc w:val="both"/>
      </w:pPr>
      <w:r>
        <w:t xml:space="preserve">Code style is kept consistent through a single indentation and formatting convention throughout the project, and functions that implement non-obvious logic (threshold calculations, alert escalation rules) carry inline comments explaining the reasoning rather than restating what the code already shows. This is deliberate: comments are most useful where they explain *why* a decision was made (for example, why a particular gas-concentration threshold was chosen) rather than *what* the next line does, which is usually self-evident from the code.</w:t>
      </w:r>
    </w:p>
    <w:p>
      <w:pPr>
        <w:pStyle w:val="Heading2"/>
        <w:spacing w:after="120" w:before="240"/>
      </w:pPr>
      <w:r>
        <w:t xml:space="preserve">3.3 Strengths Identified</w:t>
      </w:r>
    </w:p>
    <w:p>
      <w:pPr>
        <w:pStyle w:val="ListParagraph"/>
        <w:numPr>
          <w:ilvl w:val="0"/>
          <w:numId w:val="2"/>
        </w:numPr>
        <w:spacing w:after="80"/>
      </w:pPr>
      <w:r>
        <w:t xml:space="preserve">Clear separation between data-collection, hazard-evaluation, and alerting logic, which keeps each concern independently testable.</w:t>
      </w:r>
    </w:p>
    <w:p>
      <w:pPr>
        <w:pStyle w:val="ListParagraph"/>
        <w:numPr>
          <w:ilvl w:val="0"/>
          <w:numId w:val="2"/>
        </w:numPr>
        <w:spacing w:after="80"/>
      </w:pPr>
      <w:r>
        <w:t xml:space="preserve">Consistent naming conventions across modules, making the codebase navigable without heavy reliance on documentation.</w:t>
      </w:r>
    </w:p>
    <w:p>
      <w:pPr>
        <w:pStyle w:val="ListParagraph"/>
        <w:numPr>
          <w:ilvl w:val="0"/>
          <w:numId w:val="2"/>
        </w:numPr>
        <w:spacing w:after="80"/>
      </w:pPr>
      <w:r>
        <w:t xml:space="preserve">Configuration values (thresholds, polling intervals) are externalized rather than hard-coded, making the system adjustable without code changes.</w:t>
      </w:r>
    </w:p>
    <w:p>
      <w:pPr>
        <w:pStyle w:val="Heading2"/>
        <w:spacing w:after="120" w:before="240"/>
      </w:pPr>
      <w:r>
        <w:t xml:space="preserve">3.4 Areas for Improvement</w:t>
      </w:r>
    </w:p>
    <w:p>
      <w:pPr>
        <w:pStyle w:val="ListParagraph"/>
        <w:numPr>
          <w:ilvl w:val="0"/>
          <w:numId w:val="2"/>
        </w:numPr>
        <w:spacing w:after="80"/>
      </w:pPr>
      <w:r>
        <w:t xml:space="preserve">Error handling around external inputs (sensor feeds, location data) could be made more defensive, since malformed or missing readings should degrade gracefully rather than interrupt monitoring.</w:t>
      </w:r>
    </w:p>
    <w:p>
      <w:pPr>
        <w:pStyle w:val="ListParagraph"/>
        <w:numPr>
          <w:ilvl w:val="0"/>
          <w:numId w:val="2"/>
        </w:numPr>
        <w:spacing w:after="80"/>
      </w:pPr>
      <w:r>
        <w:t xml:space="preserve">Some logic that recurs across modules (e.g. threshold comparison) would benefit from being extracted into a shared utility to avoid duplication.</w:t>
      </w:r>
    </w:p>
    <w:p>
      <w:pPr>
        <w:pStyle w:val="ListParagraph"/>
        <w:numPr>
          <w:ilvl w:val="0"/>
          <w:numId w:val="2"/>
        </w:numPr>
        <w:spacing w:after="80"/>
      </w:pPr>
      <w:r>
        <w:t xml:space="preserve">Inline documentation could be expanded for the predictive-maintenance component, where the trend-analysis logic is the least self-explanatory part of the system.</w:t>
      </w:r>
    </w:p>
    <w:p>
      <w:pPr>
        <w:pStyle w:val="Heading1"/>
        <w:spacing w:after="180" w:before="360"/>
      </w:pPr>
      <w:r>
        <w:t xml:space="preserve">4. Version Control Evaluation</w:t>
      </w:r>
    </w:p>
    <w:p>
      <w:pPr>
        <w:pStyle w:val="Heading2"/>
        <w:spacing w:after="120" w:before="240"/>
      </w:pPr>
      <w:r>
        <w:t xml:space="preserve">4.1 Commit History and Practices</w:t>
      </w:r>
    </w:p>
    <w:p>
      <w:pPr>
        <w:spacing w:after="160"/>
        <w:jc w:val="both"/>
      </w:pPr>
      <w:r>
        <w:t xml:space="preserve">Development proceeds through incremental commits, each scoped to a single logical change — for example, adding the hazard-detection threshold logic, wiring up the emergency-notification dispatcher, or fixing a bug in location parsing — rather than large, mixed commits that bundle unrelated changes. Commit messages follow a short imperative-mood summary (e.g. 'Add gas threshold check to hazard module') so that the commit log itself functions as a readable changelog of the project's evolution.</w:t>
      </w:r>
    </w:p>
    <w:p>
      <w:pPr>
        <w:pStyle w:val="Heading2"/>
        <w:spacing w:after="120" w:before="240"/>
      </w:pPr>
      <w:r>
        <w:t xml:space="preserve">4.2 Branching Strategy</w:t>
      </w:r>
    </w:p>
    <w:p>
      <w:pPr>
        <w:spacing w:after="160"/>
        <w:jc w:val="both"/>
      </w:pPr>
      <w:r>
        <w:t xml:space="preserve">Feature work is developed on dedicated branches (e.g. feature/hazard-detection, feature/worker-tracking) and merged into a stable main branch once complete, rather than committing directly to main. This keeps main in a consistently working state and allows features to be reviewed and tested in isolation before integration.</w:t>
      </w:r>
    </w:p>
    <w:p>
      <w:pPr>
        <w:pStyle w:val="Heading2"/>
        <w:spacing w:after="120" w:before="240"/>
      </w:pPr>
      <w:r>
        <w:t xml:space="preserve">4.3 Role of Version Control in Collaborative Development</w:t>
      </w:r>
    </w:p>
    <w:p>
      <w:pPr>
        <w:spacing w:after="160"/>
        <w:jc w:val="both"/>
      </w:pPr>
      <w:r>
        <w:t xml:space="preserve">Git-based version control underpins collaboration in several ways. It allows multiple contributors to work on separate branches without overwriting one another's changes, merging their work only once it is complete and reviewed. It preserves a complete audit trail of who changed what and why, through commit history and messages, which is particularly valuable in a safety-related system where changes to threshold logic or alerting behaviour may need to be traced later. And it enables structured code review through pull requests, giving a second set of eyes on changes before they reach the branch that represents the working system.</w:t>
      </w:r>
    </w:p>
    <w:p>
      <w:pPr>
        <w:pStyle w:val="Heading1"/>
        <w:spacing w:after="180" w:before="360"/>
      </w:pPr>
      <w:r>
        <w:t xml:space="preserve">5. Code Testing and Validation</w:t>
      </w:r>
    </w:p>
    <w:p>
      <w:pPr>
        <w:pStyle w:val="Heading2"/>
        <w:spacing w:after="120" w:before="240"/>
      </w:pPr>
      <w:r>
        <w:t xml:space="preserve">5.1 Testing Approach</w:t>
      </w:r>
    </w:p>
    <w:p>
      <w:pPr>
        <w:spacing w:after="160"/>
        <w:jc w:val="both"/>
      </w:pPr>
      <w:r>
        <w:t xml:space="preserve">The application is validated through a combination of unit-level checks on individual functions (particularly the threshold-comparison and alert-triggering logic, since these carry the most safety relevance) and manual end-to-end testing of each module's behaviour — confirming, for example, that a simulated gas-concentration spike correctly produces a hazard alert, and that a worker's simulated location updates correctly on the tracking view.</w:t>
      </w:r>
    </w:p>
    <w:p>
      <w:pPr>
        <w:pStyle w:val="Heading2"/>
        <w:spacing w:after="120" w:before="240"/>
      </w:pPr>
      <w:r>
        <w:t xml:space="preserve">5.2 Representative Test Cases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600"/>
        <w:gridCol w:w="2400"/>
      </w:tblGrid>
      <w:tr>
        <w:trPr>
          <w:tblHeader/>
        </w:trPr>
        <w:tc>
          <w:tcPr>
            <w:tcW w:type="dxa" w:w="2400"/>
            <w:shd w:fill="D9E2F3" w:val="clear"/>
          </w:tcPr>
          <w:p>
            <w:r>
              <w:rPr>
                <w:b/>
                <w:bCs/>
              </w:rPr>
              <w:t xml:space="preserve">Test ID</w:t>
            </w:r>
          </w:p>
        </w:tc>
        <w:tc>
          <w:tcPr>
            <w:tcW w:type="dxa" w:w="2400"/>
            <w:shd w:fill="D9E2F3" w:val="clear"/>
          </w:tcPr>
          <w:p>
            <w:r>
              <w:rPr>
                <w:b/>
                <w:bCs/>
              </w:rPr>
              <w:t xml:space="preserve">Test Description</w:t>
            </w:r>
          </w:p>
        </w:tc>
        <w:tc>
          <w:tcPr>
            <w:tcW w:type="dxa" w:w="2400"/>
            <w:shd w:fill="D9E2F3" w:val="clear"/>
          </w:tcPr>
          <w:p>
            <w:r>
              <w:rPr>
                <w:b/>
                <w:bCs/>
              </w:rPr>
              <w:t xml:space="preserve">Expected Result</w:t>
            </w:r>
          </w:p>
        </w:tc>
        <w:tc>
          <w:tcPr>
            <w:tcW w:type="dxa" w:w="2400"/>
            <w:shd w:fill="D9E2F3" w:val="clear"/>
          </w:tcPr>
          <w:p>
            <w:r>
              <w:rPr>
                <w:b/>
                <w:bCs/>
              </w:rPr>
              <w:t xml:space="preserve">Actual Result</w:t>
            </w:r>
          </w:p>
        </w:tc>
      </w:tr>
      <w:tr>
        <w:tc>
          <w:tcPr>
            <w:tcW w:type="dxa" w:w="2400"/>
          </w:tcPr>
          <w:p>
            <w:r>
              <w:t xml:space="preserve">TC01</w:t>
            </w:r>
          </w:p>
        </w:tc>
        <w:tc>
          <w:tcPr>
            <w:tcW w:type="dxa" w:w="2400"/>
          </w:tcPr>
          <w:p>
            <w:r>
              <w:t xml:space="preserve">Simulate gas concentration exceeding safety threshold</w:t>
            </w:r>
          </w:p>
        </w:tc>
        <w:tc>
          <w:tcPr>
            <w:tcW w:type="dxa" w:w="2400"/>
          </w:tcPr>
          <w:p>
            <w:r>
              <w:t xml:space="preserve">Hazard alert is raised and logged</w:t>
            </w:r>
          </w:p>
        </w:tc>
        <w:tc>
          <w:tcPr>
            <w:tcW w:type="dxa" w:w="2400"/>
          </w:tcPr>
          <w:p>
            <w:r>
              <w:t xml:space="preserve">Pass — alert triggered as expected</w:t>
            </w:r>
          </w:p>
        </w:tc>
      </w:tr>
      <w:tr>
        <w:tc>
          <w:tcPr>
            <w:tcW w:type="dxa" w:w="2400"/>
          </w:tcPr>
          <w:p>
            <w:r>
              <w:t xml:space="preserve">TC02</w:t>
            </w:r>
          </w:p>
        </w:tc>
        <w:tc>
          <w:tcPr>
            <w:tcW w:type="dxa" w:w="2400"/>
          </w:tcPr>
          <w:p>
            <w:r>
              <w:t xml:space="preserve">Update simulated worker GPS coordinates</w:t>
            </w:r>
          </w:p>
        </w:tc>
        <w:tc>
          <w:tcPr>
            <w:tcW w:type="dxa" w:w="2400"/>
          </w:tcPr>
          <w:p>
            <w:r>
              <w:t xml:space="preserve">Worker marker updates on tracking dashboard</w:t>
            </w:r>
          </w:p>
        </w:tc>
        <w:tc>
          <w:tcPr>
            <w:tcW w:type="dxa" w:w="2400"/>
          </w:tcPr>
          <w:p>
            <w:r>
              <w:t xml:space="preserve">Pass — position reflected within polling interval</w:t>
            </w:r>
          </w:p>
        </w:tc>
      </w:tr>
      <w:tr>
        <w:tc>
          <w:tcPr>
            <w:tcW w:type="dxa" w:w="2400"/>
          </w:tcPr>
          <w:p>
            <w:r>
              <w:t xml:space="preserve">TC03</w:t>
            </w:r>
          </w:p>
        </w:tc>
        <w:tc>
          <w:tcPr>
            <w:tcW w:type="dxa" w:w="2400"/>
          </w:tcPr>
          <w:p>
            <w:r>
              <w:t xml:space="preserve">Feed equipment usage data indicating wear pattern</w:t>
            </w:r>
          </w:p>
        </w:tc>
        <w:tc>
          <w:tcPr>
            <w:tcW w:type="dxa" w:w="2400"/>
          </w:tcPr>
          <w:p>
            <w:r>
              <w:t xml:space="preserve">Predictive-maintenance module flags equipment for review</w:t>
            </w:r>
          </w:p>
        </w:tc>
        <w:tc>
          <w:tcPr>
            <w:tcW w:type="dxa" w:w="2400"/>
          </w:tcPr>
          <w:p>
            <w:r>
              <w:t xml:space="preserve">Pass — equipment correctly flagged</w:t>
            </w:r>
          </w:p>
        </w:tc>
      </w:tr>
      <w:tr>
        <w:tc>
          <w:tcPr>
            <w:tcW w:type="dxa" w:w="2400"/>
          </w:tcPr>
          <w:p>
            <w:r>
              <w:t xml:space="preserve">TC04</w:t>
            </w:r>
          </w:p>
        </w:tc>
        <w:tc>
          <w:tcPr>
            <w:tcW w:type="dxa" w:w="2400"/>
          </w:tcPr>
          <w:p>
            <w:r>
              <w:t xml:space="preserve">Trigger emergency alert for a zone</w:t>
            </w:r>
          </w:p>
        </w:tc>
        <w:tc>
          <w:tcPr>
            <w:tcW w:type="dxa" w:w="2400"/>
          </w:tcPr>
          <w:p>
            <w:r>
              <w:t xml:space="preserve">Relevant personnel receive notification and event is logged</w:t>
            </w:r>
          </w:p>
        </w:tc>
        <w:tc>
          <w:tcPr>
            <w:tcW w:type="dxa" w:w="2400"/>
          </w:tcPr>
          <w:p>
            <w:r>
              <w:t xml:space="preserve">Pass — notification dispatched and logged</w:t>
            </w:r>
          </w:p>
        </w:tc>
      </w:tr>
    </w:tbl>
    <w:p>
      <w:pPr>
        <w:spacing w:after="160"/>
      </w:pPr>
    </w:p>
    <w:p>
      <w:pPr>
        <w:pStyle w:val="Heading2"/>
        <w:spacing w:after="120" w:before="240"/>
      </w:pPr>
      <w:r>
        <w:t xml:space="preserve">5.3 Validation Summary</w:t>
      </w:r>
    </w:p>
    <w:p>
      <w:pPr>
        <w:spacing w:after="160"/>
        <w:jc w:val="both"/>
      </w:pPr>
      <w:r>
        <w:t xml:space="preserve">Across the core modules, functional behaviour matches expected outcomes: hazard conditions reliably produce alerts, location updates propagate to the dashboard, and predictive maintenance correctly flags equipment matching wear patterns in the test data. The main gap identified during testing is around malformed or missing sensor input, where behaviour is less predictable than for well-formed input — this is captured as a recommendation in Section 7.</w:t>
      </w:r>
    </w:p>
    <w:p>
      <w:pPr>
        <w:pStyle w:val="Heading1"/>
        <w:spacing w:after="180" w:before="360"/>
      </w:pPr>
      <w:r>
        <w:t xml:space="preserve">6. Repository Documentation</w:t>
      </w:r>
    </w:p>
    <w:p>
      <w:pPr>
        <w:pStyle w:val="Heading2"/>
        <w:spacing w:after="120" w:before="240"/>
      </w:pPr>
      <w:r>
        <w:t xml:space="preserve">6.1 README Completeness</w:t>
      </w:r>
    </w:p>
    <w:p>
      <w:pPr>
        <w:spacing w:after="160"/>
        <w:jc w:val="both"/>
      </w:pPr>
      <w:r>
        <w:t xml:space="preserve">The README documents the project's purpose, the problem it addresses, and a high-level description of its modules, alongside setup instructions covering dependency installation and how to start the application locally. Usage instructions describe how to interact with the dashboard and interpret alerts. Dependencies are listed explicitly (via the project's manifest file) so that the exact versions used in development are reproducible elsewhere.</w:t>
      </w:r>
    </w:p>
    <w:p>
      <w:pPr>
        <w:pStyle w:val="Heading2"/>
        <w:spacing w:after="120" w:before="240"/>
      </w:pPr>
      <w:r>
        <w:t xml:space="preserve">6.2 Installation and Usage Guide</w:t>
      </w:r>
    </w:p>
    <w:p>
      <w:pPr>
        <w:spacing w:after="160"/>
        <w:jc w:val="both"/>
      </w:pPr>
      <w:r>
        <w:t xml:space="preserve">Following the documented setup steps — installing dependencies, configuring any required environment variables such as sensor-polling intervals or alert thresholds, and running the start command — a new contributor should be able to get the application running locally without needing to read through the source code first. This is the practical test of documentation completeness: whether someone unfamiliar with the project can go from a fresh clone to a running instance using only what is written down.</w:t>
      </w:r>
    </w:p>
    <w:p>
      <w:pPr>
        <w:pStyle w:val="Heading2"/>
        <w:spacing w:after="120" w:before="240"/>
      </w:pPr>
      <w:r>
        <w:t xml:space="preserve">6.3 Suggested Documentation Improvements</w:t>
      </w:r>
    </w:p>
    <w:p>
      <w:pPr>
        <w:pStyle w:val="ListParagraph"/>
        <w:numPr>
          <w:ilvl w:val="0"/>
          <w:numId w:val="2"/>
        </w:numPr>
        <w:spacing w:after="80"/>
      </w:pPr>
      <w:r>
        <w:t xml:space="preserve">Add an architecture diagram showing how data flows from sensors through hazard detection to alerting, to make the system's structure easier to grasp at a glance.</w:t>
      </w:r>
    </w:p>
    <w:p>
      <w:pPr>
        <w:pStyle w:val="ListParagraph"/>
        <w:numPr>
          <w:ilvl w:val="0"/>
          <w:numId w:val="2"/>
        </w:numPr>
        <w:spacing w:after="80"/>
      </w:pPr>
      <w:r>
        <w:t xml:space="preserve">Add brief API documentation for backend endpoints, including expected request/response formats.</w:t>
      </w:r>
    </w:p>
    <w:p>
      <w:pPr>
        <w:pStyle w:val="ListParagraph"/>
        <w:numPr>
          <w:ilvl w:val="0"/>
          <w:numId w:val="2"/>
        </w:numPr>
        <w:spacing w:after="80"/>
      </w:pPr>
      <w:r>
        <w:t xml:space="preserve">Add a short CONTRIBUTING section describing branch naming and commit message conventions for future collaborators.</w:t>
      </w:r>
    </w:p>
    <w:p>
      <w:pPr>
        <w:pStyle w:val="Heading1"/>
        <w:spacing w:after="180" w:before="360"/>
      </w:pPr>
      <w:r>
        <w:t xml:space="preserve">7. Code Review Findings and Recommendations</w:t>
      </w:r>
    </w:p>
    <w:p>
      <w:pPr>
        <w:pStyle w:val="Heading2"/>
        <w:spacing w:after="120" w:before="240"/>
      </w:pPr>
      <w:r>
        <w:t xml:space="preserve">7.1 Summary of Findings</w:t>
      </w:r>
    </w:p>
    <w:p>
      <w:pPr>
        <w:spacing w:after="160"/>
        <w:jc w:val="both"/>
      </w:pPr>
      <w:r>
        <w:t xml:space="preserve">Overall, the Smart Mining Operations and Safety Management Platform demonstrates a working implementation of its core objectives — worker tracking, environmental monitoring, hazard detection, predictive maintenance, and emergency coordination — built on a modular, readable codebase with a maintainable repository structure and disciplined version-control practices. The clearest strength is the separation of concerns across modules, which keeps the system testable and extensible. The clearest weakness is limited defensive handling of unreliable input data, which matters more in a safety-critical context than in a typical application, since sensor and location feeds cannot be assumed to always arrive well-formed.</w:t>
      </w:r>
    </w:p>
    <w:p>
      <w:pPr>
        <w:pStyle w:val="Heading2"/>
        <w:spacing w:after="120" w:before="240"/>
      </w:pPr>
      <w:r>
        <w:t xml:space="preserve">7.2 Recommendations</w:t>
      </w:r>
    </w:p>
    <w:p>
      <w:pPr>
        <w:pStyle w:val="ListParagraph"/>
        <w:numPr>
          <w:ilvl w:val="0"/>
          <w:numId w:val="2"/>
        </w:numPr>
        <w:spacing w:after="80"/>
      </w:pPr>
      <w:r>
        <w:t xml:space="preserve">Code Quality: Introduce consistent, defensive error handling around all external data inputs (sensor readings, location updates) so that malformed data degrades gracefully rather than disrupting monitoring.</w:t>
      </w:r>
    </w:p>
    <w:p>
      <w:pPr>
        <w:pStyle w:val="ListParagraph"/>
        <w:numPr>
          <w:ilvl w:val="0"/>
          <w:numId w:val="2"/>
        </w:numPr>
        <w:spacing w:after="80"/>
      </w:pPr>
      <w:r>
        <w:t xml:space="preserve">Repository Management: Adopt a stricter branch-naming convention (e.g. feature/, fix/, docs/ prefixes) to make the purpose of each branch clear at a glance.</w:t>
      </w:r>
    </w:p>
    <w:p>
      <w:pPr>
        <w:pStyle w:val="ListParagraph"/>
        <w:numPr>
          <w:ilvl w:val="0"/>
          <w:numId w:val="2"/>
        </w:numPr>
        <w:spacing w:after="80"/>
      </w:pPr>
      <w:r>
        <w:t xml:space="preserve">Documentation: Expand the README with an architecture diagram and API reference to reduce onboarding time for new contributors.</w:t>
      </w:r>
    </w:p>
    <w:p>
      <w:pPr>
        <w:pStyle w:val="ListParagraph"/>
        <w:numPr>
          <w:ilvl w:val="0"/>
          <w:numId w:val="2"/>
        </w:numPr>
        <w:spacing w:after="80"/>
      </w:pPr>
      <w:r>
        <w:t xml:space="preserve">Testing: Add automated unit tests for the hazard-detection threshold logic specifically, given its safety relevance, rather than relying solely on manual verification.</w:t>
      </w:r>
    </w:p>
    <w:p>
      <w:pPr>
        <w:pStyle w:val="ListParagraph"/>
        <w:numPr>
          <w:ilvl w:val="0"/>
          <w:numId w:val="2"/>
        </w:numPr>
        <w:spacing w:after="80"/>
      </w:pPr>
      <w:r>
        <w:t xml:space="preserve">Future Enhancements: Replace simulated sensor data with real IoT feeds, and add role-based access control to distinguish supervisor, engineer, and worker views within the dashboard.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t xml:space="preserve">Smart Mining Operations and Safety Management Platform — Code Review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2026-08-13T08:02:06.880Z</dcterms:created>
  <dcterms:modified xsi:type="dcterms:W3CDTF">2026-08-13T08:02:06.897Z</dcterms:modified>
</cp:coreProperties>
</file>

<file path=docProps/custom.xml><?xml version="1.0" encoding="utf-8"?>
<Properties xmlns="http://schemas.openxmlformats.org/officeDocument/2006/custom-properties" xmlns:vt="http://schemas.openxmlformats.org/officeDocument/2006/docPropsVTypes"/>
</file>