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864"/>
          <w:sz w:val="32"/>
          <w:szCs w:val="32"/>
        </w:rPr>
        <w:t xml:space="preserve">Architecture Design Assignment Report</w:t>
      </w:r>
    </w:p>
    <w:p>
      <w:pPr>
        <w:spacing w:after="220"/>
        <w:jc w:val="center"/>
      </w:pPr>
      <w:r>
        <w:rPr>
          <w:rFonts w:ascii="Times New Roman" w:cs="Times New Roman" w:eastAsia="Times New Roman" w:hAnsi="Times New Roman"/>
          <w:i/>
          <w:iCs/>
          <w:color w:val="444444"/>
          <w:sz w:val="23"/>
          <w:szCs w:val="23"/>
        </w:rPr>
        <w:t xml:space="preserve">Problem Statement 16 – Smart Mining Operations and Safety Management Platform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350"/>
      </w:tblGrid>
      <w:tr>
        <w:tc>
          <w:tcPr>
            <w:tcW w:type="dxa" w:w="2400"/>
            <w:shd w:fill="D9E2F3" w:val="clear"/>
            <w:tcMar>
              <w:top w:type="dxa" w:w="80"/>
              <w:left w:type="dxa" w:w="120"/>
              <w:bottom w:type="dxa" w:w="80"/>
              <w:right w:type="dxa" w:w="120"/>
            </w:tcMar>
            <w:vAlign w:val="center"/>
          </w:tcPr>
          <w:p>
            <w:pPr>
              <w:jc w:val="both"/>
            </w:pPr>
            <w:r>
              <w:rPr>
                <w:rFonts w:ascii="Times New Roman" w:cs="Times New Roman" w:eastAsia="Times New Roman" w:hAnsi="Times New Roman"/>
                <w:b/>
                <w:bCs/>
                <w:sz w:val="22"/>
                <w:szCs w:val="22"/>
              </w:rPr>
              <w:t xml:space="preserve">Course Code:</w:t>
            </w:r>
          </w:p>
        </w:tc>
        <w:tc>
          <w:tcPr>
            <w:tcW w:type="dxa" w:w="2600"/>
            <w:tcMar>
              <w:top w:type="dxa" w:w="80"/>
              <w:left w:type="dxa" w:w="120"/>
              <w:bottom w:type="dxa" w:w="80"/>
              <w:right w:type="dxa" w:w="120"/>
            </w:tcMar>
            <w:vAlign w:val="center"/>
          </w:tcPr>
          <w:p>
            <w:pPr>
              <w:jc w:val="both"/>
            </w:pPr>
            <w:r>
              <w:rPr>
                <w:rFonts w:ascii="Times New Roman" w:cs="Times New Roman" w:eastAsia="Times New Roman" w:hAnsi="Times New Roman"/>
                <w:b w:val="false"/>
                <w:bCs w:val="false"/>
                <w:sz w:val="22"/>
                <w:szCs w:val="22"/>
              </w:rPr>
              <w:t xml:space="preserve">CSA1007</w:t>
            </w:r>
          </w:p>
        </w:tc>
        <w:tc>
          <w:tcPr>
            <w:tcW w:type="dxa" w:w="2000"/>
            <w:shd w:fill="D9E2F3" w:val="clear"/>
            <w:tcMar>
              <w:top w:type="dxa" w:w="80"/>
              <w:left w:type="dxa" w:w="120"/>
              <w:bottom w:type="dxa" w:w="80"/>
              <w:right w:type="dxa" w:w="120"/>
            </w:tcMar>
            <w:vAlign w:val="center"/>
          </w:tcPr>
          <w:p>
            <w:pPr>
              <w:jc w:val="both"/>
            </w:pPr>
            <w:r>
              <w:rPr>
                <w:rFonts w:ascii="Times New Roman" w:cs="Times New Roman" w:eastAsia="Times New Roman" w:hAnsi="Times New Roman"/>
                <w:b/>
                <w:bCs/>
                <w:sz w:val="22"/>
                <w:szCs w:val="22"/>
              </w:rPr>
              <w:t xml:space="preserve">Course Title:</w:t>
            </w:r>
          </w:p>
        </w:tc>
        <w:tc>
          <w:tcPr>
            <w:tcW w:type="dxa" w:w="2350"/>
            <w:tcMar>
              <w:top w:type="dxa" w:w="80"/>
              <w:left w:type="dxa" w:w="120"/>
              <w:bottom w:type="dxa" w:w="80"/>
              <w:right w:type="dxa" w:w="120"/>
            </w:tcMar>
            <w:vAlign w:val="center"/>
          </w:tcPr>
          <w:p>
            <w:pPr>
              <w:jc w:val="both"/>
            </w:pPr>
            <w:r>
              <w:rPr>
                <w:rFonts w:ascii="Times New Roman" w:cs="Times New Roman" w:eastAsia="Times New Roman" w:hAnsi="Times New Roman"/>
                <w:b w:val="false"/>
                <w:bCs w:val="false"/>
                <w:sz w:val="22"/>
                <w:szCs w:val="22"/>
              </w:rPr>
              <w:t xml:space="preserve">Software Engineering</w:t>
            </w:r>
          </w:p>
        </w:tc>
      </w:tr>
      <w:tr>
        <w:tc>
          <w:tcPr>
            <w:tcW w:type="dxa" w:w="2400"/>
            <w:shd w:fill="D9E2F3" w:val="clear"/>
            <w:tcMar>
              <w:top w:type="dxa" w:w="80"/>
              <w:left w:type="dxa" w:w="120"/>
              <w:bottom w:type="dxa" w:w="80"/>
              <w:right w:type="dxa" w:w="120"/>
            </w:tcMar>
            <w:vAlign w:val="center"/>
          </w:tcPr>
          <w:p>
            <w:pPr>
              <w:jc w:val="both"/>
            </w:pPr>
            <w:r>
              <w:rPr>
                <w:rFonts w:ascii="Times New Roman" w:cs="Times New Roman" w:eastAsia="Times New Roman" w:hAnsi="Times New Roman"/>
                <w:b/>
                <w:bCs/>
                <w:sz w:val="22"/>
                <w:szCs w:val="22"/>
              </w:rPr>
              <w:t xml:space="preserve">CO Assessed:</w:t>
            </w:r>
          </w:p>
        </w:tc>
        <w:tc>
          <w:tcPr>
            <w:tcW w:type="dxa" w:w="2600"/>
            <w:tcMar>
              <w:top w:type="dxa" w:w="80"/>
              <w:left w:type="dxa" w:w="120"/>
              <w:bottom w:type="dxa" w:w="80"/>
              <w:right w:type="dxa" w:w="120"/>
            </w:tcMar>
            <w:vAlign w:val="center"/>
          </w:tcPr>
          <w:p>
            <w:pPr>
              <w:jc w:val="both"/>
            </w:pPr>
            <w:r>
              <w:rPr>
                <w:rFonts w:ascii="Times New Roman" w:cs="Times New Roman" w:eastAsia="Times New Roman" w:hAnsi="Times New Roman"/>
                <w:b w:val="false"/>
                <w:bCs w:val="false"/>
                <w:sz w:val="22"/>
                <w:szCs w:val="22"/>
              </w:rPr>
              <w:t xml:space="preserve">CO2</w:t>
            </w:r>
          </w:p>
        </w:tc>
        <w:tc>
          <w:tcPr>
            <w:tcW w:type="dxa" w:w="2000"/>
            <w:shd w:fill="D9E2F3" w:val="clear"/>
            <w:tcMar>
              <w:top w:type="dxa" w:w="80"/>
              <w:left w:type="dxa" w:w="120"/>
              <w:bottom w:type="dxa" w:w="80"/>
              <w:right w:type="dxa" w:w="120"/>
            </w:tcMar>
            <w:vAlign w:val="center"/>
          </w:tcPr>
          <w:p>
            <w:pPr>
              <w:jc w:val="both"/>
            </w:pPr>
            <w:r>
              <w:rPr>
                <w:rFonts w:ascii="Times New Roman" w:cs="Times New Roman" w:eastAsia="Times New Roman" w:hAnsi="Times New Roman"/>
                <w:b/>
                <w:bCs/>
                <w:sz w:val="22"/>
                <w:szCs w:val="22"/>
              </w:rPr>
              <w:t xml:space="preserve">Assessment:</w:t>
            </w:r>
          </w:p>
        </w:tc>
        <w:tc>
          <w:tcPr>
            <w:tcW w:type="dxa" w:w="2350"/>
            <w:tcMar>
              <w:top w:type="dxa" w:w="80"/>
              <w:left w:type="dxa" w:w="120"/>
              <w:bottom w:type="dxa" w:w="80"/>
              <w:right w:type="dxa" w:w="120"/>
            </w:tcMar>
            <w:vAlign w:val="center"/>
          </w:tcPr>
          <w:p>
            <w:pPr>
              <w:jc w:val="both"/>
            </w:pPr>
            <w:r>
              <w:rPr>
                <w:rFonts w:ascii="Times New Roman" w:cs="Times New Roman" w:eastAsia="Times New Roman" w:hAnsi="Times New Roman"/>
                <w:b w:val="false"/>
                <w:bCs w:val="false"/>
                <w:sz w:val="22"/>
                <w:szCs w:val="22"/>
              </w:rPr>
              <w:t xml:space="preserve">AT2 – Architecture Design</w:t>
            </w:r>
          </w:p>
        </w:tc>
      </w:tr>
      <w:tr>
        <w:tc>
          <w:tcPr>
            <w:tcW w:type="dxa" w:w="2400"/>
            <w:shd w:fill="D9E2F3" w:val="clear"/>
            <w:tcMar>
              <w:top w:type="dxa" w:w="80"/>
              <w:left w:type="dxa" w:w="120"/>
              <w:bottom w:type="dxa" w:w="80"/>
              <w:right w:type="dxa" w:w="120"/>
            </w:tcMar>
            <w:vAlign w:val="center"/>
          </w:tcPr>
          <w:p>
            <w:pPr>
              <w:jc w:val="both"/>
            </w:pPr>
            <w:r>
              <w:rPr>
                <w:rFonts w:ascii="Times New Roman" w:cs="Times New Roman" w:eastAsia="Times New Roman" w:hAnsi="Times New Roman"/>
                <w:b/>
                <w:bCs/>
                <w:sz w:val="22"/>
                <w:szCs w:val="22"/>
              </w:rPr>
              <w:t xml:space="preserve">Student Name:</w:t>
            </w:r>
          </w:p>
        </w:tc>
        <w:tc>
          <w:tcPr>
            <w:tcW w:type="dxa" w:w="2600"/>
            <w:tcMar>
              <w:top w:type="dxa" w:w="80"/>
              <w:left w:type="dxa" w:w="120"/>
              <w:bottom w:type="dxa" w:w="80"/>
              <w:right w:type="dxa" w:w="120"/>
            </w:tcMar>
            <w:vAlign w:val="center"/>
          </w:tcPr>
          <w:p>
            <w:pPr>
              <w:jc w:val="both"/>
            </w:pPr>
            <w:r>
              <w:rPr>
                <w:rFonts w:ascii="Times New Roman" w:cs="Times New Roman" w:eastAsia="Times New Roman" w:hAnsi="Times New Roman"/>
                <w:b w:val="false"/>
                <w:bCs w:val="false"/>
                <w:sz w:val="22"/>
                <w:szCs w:val="22"/>
              </w:rPr>
              <w:t xml:space="preserve">Jahnavi Maddi</w:t>
            </w:r>
          </w:p>
        </w:tc>
        <w:tc>
          <w:tcPr>
            <w:tcW w:type="dxa" w:w="2000"/>
            <w:shd w:fill="D9E2F3" w:val="clear"/>
            <w:tcMar>
              <w:top w:type="dxa" w:w="80"/>
              <w:left w:type="dxa" w:w="120"/>
              <w:bottom w:type="dxa" w:w="80"/>
              <w:right w:type="dxa" w:w="120"/>
            </w:tcMar>
            <w:vAlign w:val="center"/>
          </w:tcPr>
          <w:p>
            <w:pPr>
              <w:jc w:val="both"/>
            </w:pPr>
            <w:r>
              <w:rPr>
                <w:rFonts w:ascii="Times New Roman" w:cs="Times New Roman" w:eastAsia="Times New Roman" w:hAnsi="Times New Roman"/>
                <w:b/>
                <w:bCs/>
                <w:sz w:val="22"/>
                <w:szCs w:val="22"/>
              </w:rPr>
              <w:t xml:space="preserve">Reg. No.:</w:t>
            </w:r>
          </w:p>
        </w:tc>
        <w:tc>
          <w:tcPr>
            <w:tcW w:type="dxa" w:w="2350"/>
            <w:tcMar>
              <w:top w:type="dxa" w:w="80"/>
              <w:left w:type="dxa" w:w="120"/>
              <w:bottom w:type="dxa" w:w="80"/>
              <w:right w:type="dxa" w:w="120"/>
            </w:tcMar>
            <w:vAlign w:val="center"/>
          </w:tcPr>
          <w:p>
            <w:pPr>
              <w:jc w:val="both"/>
            </w:pPr>
            <w:r>
              <w:rPr>
                <w:rFonts w:ascii="Times New Roman" w:cs="Times New Roman" w:eastAsia="Times New Roman" w:hAnsi="Times New Roman"/>
                <w:b w:val="false"/>
                <w:bCs w:val="false"/>
                <w:sz w:val="22"/>
                <w:szCs w:val="22"/>
              </w:rPr>
              <w:t xml:space="preserve">192411196</w:t>
            </w:r>
          </w:p>
        </w:tc>
      </w:tr>
      <w:tr>
        <w:tc>
          <w:tcPr>
            <w:tcW w:type="dxa" w:w="2400"/>
            <w:shd w:fill="D9E2F3" w:val="clear"/>
            <w:tcMar>
              <w:top w:type="dxa" w:w="80"/>
              <w:left w:type="dxa" w:w="120"/>
              <w:bottom w:type="dxa" w:w="80"/>
              <w:right w:type="dxa" w:w="120"/>
            </w:tcMar>
            <w:vAlign w:val="center"/>
          </w:tcPr>
          <w:p>
            <w:pPr>
              <w:jc w:val="both"/>
            </w:pPr>
            <w:r>
              <w:rPr>
                <w:rFonts w:ascii="Times New Roman" w:cs="Times New Roman" w:eastAsia="Times New Roman" w:hAnsi="Times New Roman"/>
                <w:b/>
                <w:bCs/>
                <w:sz w:val="22"/>
                <w:szCs w:val="22"/>
              </w:rPr>
              <w:t xml:space="preserve">Assigned Problem:</w:t>
            </w:r>
          </w:p>
        </w:tc>
        <w:tc>
          <w:tcPr>
            <w:tcW w:type="dxa" w:w="2600"/>
            <w:tcMar>
              <w:top w:type="dxa" w:w="80"/>
              <w:left w:type="dxa" w:w="120"/>
              <w:bottom w:type="dxa" w:w="80"/>
              <w:right w:type="dxa" w:w="120"/>
            </w:tcMar>
            <w:vAlign w:val="center"/>
          </w:tcPr>
          <w:p>
            <w:pPr>
              <w:jc w:val="both"/>
            </w:pPr>
            <w:r>
              <w:rPr>
                <w:rFonts w:ascii="Times New Roman" w:cs="Times New Roman" w:eastAsia="Times New Roman" w:hAnsi="Times New Roman"/>
                <w:b w:val="false"/>
                <w:bCs w:val="false"/>
                <w:sz w:val="22"/>
                <w:szCs w:val="22"/>
              </w:rPr>
              <w:t xml:space="preserve">Problem 16</w:t>
            </w:r>
          </w:p>
        </w:tc>
        <w:tc>
          <w:tcPr>
            <w:tcW w:type="dxa" w:w="2000"/>
            <w:shd w:fill="D9E2F3" w:val="clear"/>
            <w:tcMar>
              <w:top w:type="dxa" w:w="80"/>
              <w:left w:type="dxa" w:w="120"/>
              <w:bottom w:type="dxa" w:w="80"/>
              <w:right w:type="dxa" w:w="120"/>
            </w:tcMar>
            <w:vAlign w:val="center"/>
          </w:tcPr>
          <w:p>
            <w:pPr>
              <w:jc w:val="both"/>
            </w:pPr>
            <w:r>
              <w:rPr>
                <w:rFonts w:ascii="Times New Roman" w:cs="Times New Roman" w:eastAsia="Times New Roman" w:hAnsi="Times New Roman"/>
                <w:b/>
                <w:bCs/>
                <w:sz w:val="22"/>
                <w:szCs w:val="22"/>
              </w:rPr>
              <w:t xml:space="preserve">Duration:</w:t>
            </w:r>
          </w:p>
        </w:tc>
        <w:tc>
          <w:tcPr>
            <w:tcW w:type="dxa" w:w="2350"/>
            <w:tcMar>
              <w:top w:type="dxa" w:w="80"/>
              <w:left w:type="dxa" w:w="120"/>
              <w:bottom w:type="dxa" w:w="80"/>
              <w:right w:type="dxa" w:w="120"/>
            </w:tcMar>
            <w:vAlign w:val="center"/>
          </w:tcPr>
          <w:p>
            <w:pPr>
              <w:jc w:val="both"/>
            </w:pPr>
            <w:r>
              <w:rPr>
                <w:rFonts w:ascii="Times New Roman" w:cs="Times New Roman" w:eastAsia="Times New Roman" w:hAnsi="Times New Roman"/>
                <w:b w:val="false"/>
                <w:bCs w:val="false"/>
                <w:sz w:val="22"/>
                <w:szCs w:val="22"/>
              </w:rPr>
              <w:t xml:space="preserve">60 minutes</w:t>
            </w:r>
          </w:p>
        </w:tc>
      </w:tr>
    </w:tbl>
    <w:p>
      <w:pPr>
        <w:spacing w:after="160"/>
      </w:pPr>
    </w:p>
    <w:p>
      <w:pPr>
        <w:pStyle w:val="Heading1"/>
        <w:spacing w:after="140" w:before="280"/>
        <w:jc w:val="both"/>
      </w:pPr>
      <w:r>
        <w:rPr>
          <w:rFonts w:ascii="Times New Roman" w:cs="Times New Roman" w:eastAsia="Times New Roman" w:hAnsi="Times New Roman"/>
          <w:b/>
          <w:bCs/>
          <w:color w:val="1F3864"/>
          <w:sz w:val="28"/>
          <w:szCs w:val="28"/>
        </w:rPr>
        <w:t xml:space="preserve">1. Introduction and Problem Overview</w:t>
      </w:r>
    </w:p>
    <w:p>
      <w:pPr>
        <w:spacing w:after="120" w:line="300"/>
        <w:jc w:val="both"/>
      </w:pPr>
      <w:r>
        <w:rPr>
          <w:rFonts w:ascii="Times New Roman" w:cs="Times New Roman" w:eastAsia="Times New Roman" w:hAnsi="Times New Roman"/>
          <w:sz w:val="24"/>
          <w:szCs w:val="24"/>
        </w:rPr>
        <w:t xml:space="preserve">Mining operations take place in hazardous, remote, and constantly changing environments where worker safety, equipment reliability, and rapid emergency response are critical concerns. The objective of this project is to design a Smart Mining Operations and Safety Management Platform that continuously tracks the location of workers underground and on-site, monitors environmental conditions such as gas concentration and temperature, detects safety hazards in real time, predicts equipment failures before they occur, coordinates emergency response when incidents happen, and generates safety compliance reports for management and regulatory bodies. The expected outcomes of the system are improved worker safety, reduced accident rates, faster emergency response times, lower equipment downtime, and better overall operational visibility for mine management.</w:t>
      </w:r>
    </w:p>
    <w:p>
      <w:pPr>
        <w:pStyle w:val="Heading1"/>
        <w:spacing w:after="140" w:before="280"/>
        <w:jc w:val="both"/>
      </w:pPr>
      <w:r>
        <w:rPr>
          <w:rFonts w:ascii="Times New Roman" w:cs="Times New Roman" w:eastAsia="Times New Roman" w:hAnsi="Times New Roman"/>
          <w:b/>
          <w:bCs/>
          <w:color w:val="1F3864"/>
          <w:sz w:val="28"/>
          <w:szCs w:val="28"/>
        </w:rPr>
        <w:t xml:space="preserve">2. Analysis of System Requirements</w:t>
      </w:r>
    </w:p>
    <w:p>
      <w:pPr>
        <w:spacing w:after="80" w:before="160"/>
        <w:jc w:val="both"/>
      </w:pPr>
      <w:r>
        <w:rPr>
          <w:rFonts w:ascii="Times New Roman" w:cs="Times New Roman" w:eastAsia="Times New Roman" w:hAnsi="Times New Roman"/>
          <w:b/>
          <w:bCs/>
          <w:color w:val="2E5395"/>
          <w:sz w:val="24"/>
          <w:szCs w:val="24"/>
        </w:rPr>
        <w:t xml:space="preserve">2.1 System Objectives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Continuously track the real-time location of every worker across the mining site, including underground zones.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Monitor environmental parameters (toxic gas levels, temperature, humidity, dust concentration, ventilation) at multiple checkpoints.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Automatically detect hazardous conditions and unsafe worker behaviour, and raise alerts before incidents occur.</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Analyse equipment sensor data to predict failures and schedule preventive maintenance.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Coordinate a fast, well-informed emergency response when an incident is detected.</w:t>
      </w:r>
    </w:p>
    <w:p>
      <w:pPr>
        <w:pStyle w:val="ListParagraph"/>
        <w:numPr>
          <w:ilvl w:val="0"/>
          <w:numId w:val="2"/>
        </w:numPr>
        <w:spacing w:after="60" w:line="276"/>
        <w:jc w:val="both"/>
      </w:pPr>
      <w:r>
        <w:rPr>
          <w:rFonts w:ascii="Times New Roman" w:cs="Times New Roman" w:eastAsia="Times New Roman" w:hAnsi="Times New Roman"/>
          <w:sz w:val="24"/>
          <w:szCs w:val="24"/>
        </w:rPr>
        <w:t xml:space="preserve">Generate safety and compliance reports for supervisors, management, and regulators.</w:t>
      </w:r>
    </w:p>
    <w:p>
      <w:pPr>
        <w:spacing w:after="80" w:before="160"/>
        <w:jc w:val="both"/>
      </w:pPr>
      <w:r>
        <w:rPr>
          <w:rFonts w:ascii="Times New Roman" w:cs="Times New Roman" w:eastAsia="Times New Roman" w:hAnsi="Times New Roman"/>
          <w:b/>
          <w:bCs/>
          <w:color w:val="2E5395"/>
          <w:sz w:val="24"/>
          <w:szCs w:val="24"/>
        </w:rPr>
        <w:t xml:space="preserve">2.2 Functional Requirements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system shall capture and update worker location data at short, regular intervals using wearable trackers.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system shall collect environmental sensor readings continuously from fixed and mobile sensor nodes.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system shall apply rule-based and machine-learning logic to detect hazards (gas leak, fire, structural risk, unsafe zone entry) and trigger alerts.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system shall analyse equipment vibration, temperature, and usage data to predict likely failures.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system shall notify control-room staff, on-site supervisors, and emergency services automatically when a critical event is detected.</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system shall provide a dashboard for control-room staff and a mobile app for field workers and responders.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system shall generate periodic and on-demand safety and incident reports.</w:t>
      </w:r>
    </w:p>
    <w:p>
      <w:pPr>
        <w:spacing w:after="80" w:before="160"/>
        <w:jc w:val="both"/>
      </w:pPr>
      <w:r>
        <w:rPr>
          <w:rFonts w:ascii="Times New Roman" w:cs="Times New Roman" w:eastAsia="Times New Roman" w:hAnsi="Times New Roman"/>
          <w:b/>
          <w:bCs/>
          <w:color w:val="2E5395"/>
          <w:sz w:val="24"/>
          <w:szCs w:val="24"/>
        </w:rPr>
        <w:t xml:space="preserve">2.3 Non-Functional Requirements and Quality Attributes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Scalability: the platform must support an increasing number of workers, sensors, and mining sites without redesign.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Reliability: hazard detection and alerting must function correctly even under network or partial system failure, since lives are at stake.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Availability: the system must operate near-continuously (24x7), as mining operations run in shifts.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Performance: hazard detection and emergency alerts must be generated within seconds of a triggering event (low latency).</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Security: worker location data, environmental data, and communication channels must be protected from unauthorised access or tampering.</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Maintainability: individual functions (location tracking, hazard detection, predictive maintenance) should be updatable independently as sensors and regulations evolve.</w:t>
      </w:r>
    </w:p>
    <w:p>
      <w:pPr>
        <w:pStyle w:val="Heading1"/>
        <w:spacing w:after="140" w:before="280"/>
        <w:jc w:val="both"/>
      </w:pPr>
      <w:r>
        <w:rPr>
          <w:rFonts w:ascii="Times New Roman" w:cs="Times New Roman" w:eastAsia="Times New Roman" w:hAnsi="Times New Roman"/>
          <w:b/>
          <w:bCs/>
          <w:color w:val="1F3864"/>
          <w:sz w:val="28"/>
          <w:szCs w:val="28"/>
        </w:rPr>
        <w:t xml:space="preserve">3. Selected Software Architecture</w:t>
      </w:r>
    </w:p>
    <w:p>
      <w:pPr>
        <w:spacing w:after="80" w:before="160"/>
        <w:jc w:val="both"/>
      </w:pPr>
      <w:r>
        <w:rPr>
          <w:rFonts w:ascii="Times New Roman" w:cs="Times New Roman" w:eastAsia="Times New Roman" w:hAnsi="Times New Roman"/>
          <w:b/>
          <w:bCs/>
          <w:color w:val="2E5395"/>
          <w:sz w:val="24"/>
          <w:szCs w:val="24"/>
        </w:rPr>
        <w:t xml:space="preserve">3.1 Chosen Architectural Style</w:t>
      </w:r>
    </w:p>
    <w:p>
      <w:pPr>
        <w:spacing w:after="120" w:line="300"/>
        <w:jc w:val="both"/>
      </w:pPr>
      <w:r>
        <w:rPr>
          <w:rFonts w:ascii="Times New Roman" w:cs="Times New Roman" w:eastAsia="Times New Roman" w:hAnsi="Times New Roman"/>
          <w:sz w:val="24"/>
          <w:szCs w:val="24"/>
        </w:rPr>
        <w:t xml:space="preserve">A Hybrid Architecture combining an Event-Driven Architecture (EDA) with a Microservices Architecture, supported by an Edge Computing layer, is selected for this system.</w:t>
      </w:r>
    </w:p>
    <w:p>
      <w:pPr>
        <w:spacing w:after="80" w:before="160"/>
        <w:jc w:val="both"/>
      </w:pPr>
      <w:r>
        <w:rPr>
          <w:rFonts w:ascii="Times New Roman" w:cs="Times New Roman" w:eastAsia="Times New Roman" w:hAnsi="Times New Roman"/>
          <w:b/>
          <w:bCs/>
          <w:color w:val="2E5395"/>
          <w:sz w:val="24"/>
          <w:szCs w:val="24"/>
        </w:rPr>
        <w:t xml:space="preserve">3.2 Justification</w:t>
      </w:r>
    </w:p>
    <w:p>
      <w:pPr>
        <w:spacing w:after="120" w:line="300"/>
        <w:jc w:val="both"/>
      </w:pPr>
      <w:r>
        <w:rPr>
          <w:rFonts w:ascii="Times New Roman" w:cs="Times New Roman" w:eastAsia="Times New Roman" w:hAnsi="Times New Roman"/>
          <w:sz w:val="24"/>
          <w:szCs w:val="24"/>
        </w:rPr>
        <w:t xml:space="preserve">Mining safety data originates from thousands of continuously streaming sensor and location events, and several of these events (a gas leak, a fall, a fire) require an immediate, asynchronous reaction rather than a request-response cycle. An event-driven backbone (using a message/event broker) is therefore the natural fit for propagating sensor readings and hazard alerts to every interested service the moment they occur, without tight coupling between producers and consumers.</w:t>
      </w:r>
    </w:p>
    <w:p>
      <w:pPr>
        <w:spacing w:after="120" w:line="300"/>
        <w:jc w:val="both"/>
      </w:pPr>
      <w:r>
        <w:rPr>
          <w:rFonts w:ascii="Times New Roman" w:cs="Times New Roman" w:eastAsia="Times New Roman" w:hAnsi="Times New Roman"/>
          <w:sz w:val="24"/>
          <w:szCs w:val="24"/>
        </w:rPr>
        <w:t xml:space="preserve">At the same time, the platform performs several distinct business capabilities — location tracking, environmental monitoring, hazard detection, predictive maintenance, emergency coordination, and reporting — that have different scaling needs, different update frequencies, and different technology requirements (for example, predictive maintenance relies on machine-learning models while reporting relies on batch aggregation). Microservices allow each capability to be developed, deployed, scaled, and maintained independently, which matches the Maintainability and Scalability requirements identified above.</w:t>
      </w:r>
    </w:p>
    <w:p>
      <w:pPr>
        <w:spacing w:after="120" w:line="300"/>
        <w:jc w:val="both"/>
      </w:pPr>
      <w:r>
        <w:rPr>
          <w:rFonts w:ascii="Times New Roman" w:cs="Times New Roman" w:eastAsia="Times New Roman" w:hAnsi="Times New Roman"/>
          <w:sz w:val="24"/>
          <w:szCs w:val="24"/>
        </w:rPr>
        <w:t xml:space="preserve">Finally, because mining sites, especially underground zones, frequently have unreliable connectivity to central servers, an Edge Computing layer is added so that time-critical hazard detection (e.g., dangerous gas levels) can be evaluated locally at the gateway even if the link to the cloud is temporarily lost, and only summarised or urgent events are forwarded onward. This hybrid combination directly supports the Reliability and Availability requirements in a way that a single monolithic or purely centralised client-server design could not.</w:t>
      </w:r>
    </w:p>
    <w:p>
      <w:pPr>
        <w:pStyle w:val="Heading1"/>
        <w:spacing w:after="140" w:before="280"/>
        <w:jc w:val="both"/>
      </w:pPr>
      <w:r>
        <w:rPr>
          <w:rFonts w:ascii="Times New Roman" w:cs="Times New Roman" w:eastAsia="Times New Roman" w:hAnsi="Times New Roman"/>
          <w:b/>
          <w:bCs/>
          <w:color w:val="1F3864"/>
          <w:sz w:val="28"/>
          <w:szCs w:val="28"/>
        </w:rPr>
        <w:t xml:space="preserve">4. Software Architecture Diagram</w:t>
      </w:r>
    </w:p>
    <w:p>
      <w:pPr>
        <w:spacing w:after="120" w:line="300"/>
        <w:jc w:val="both"/>
      </w:pPr>
      <w:r>
        <w:rPr>
          <w:rFonts w:ascii="Times New Roman" w:cs="Times New Roman" w:eastAsia="Times New Roman" w:hAnsi="Times New Roman"/>
          <w:sz w:val="24"/>
          <w:szCs w:val="24"/>
        </w:rPr>
        <w:t xml:space="preserve">The diagram below illustrates the overall structure of the proposed system, organised as a stack of layers from field-level sensing to end-user presentation, connected through an edge gateway, a communication network, and a central event bus.</w:t>
      </w:r>
    </w:p>
    <w:p>
      <w:pPr>
        <w:spacing w:after="120" w:before="120"/>
        <w:jc w:val="center"/>
      </w:pPr>
      <w:r>
        <w:drawing>
          <wp:inline distT="0" distB="0" distL="0" distR="0">
            <wp:extent cx="5810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4476750"/>
                    </a:xfrm>
                    <a:prstGeom prst="rect">
                      <a:avLst/>
                    </a:prstGeom>
                  </pic:spPr>
                </pic:pic>
              </a:graphicData>
            </a:graphic>
          </wp:inline>
        </w:drawing>
      </w:r>
    </w:p>
    <w:p>
      <w:pPr>
        <w:pStyle w:val="Heading1"/>
        <w:spacing w:after="140" w:before="280"/>
        <w:jc w:val="both"/>
      </w:pPr>
      <w:r>
        <w:rPr>
          <w:rFonts w:ascii="Times New Roman" w:cs="Times New Roman" w:eastAsia="Times New Roman" w:hAnsi="Times New Roman"/>
          <w:b/>
          <w:bCs/>
          <w:color w:val="1F3864"/>
          <w:sz w:val="28"/>
          <w:szCs w:val="28"/>
        </w:rPr>
        <w:t xml:space="preserve">5. Components and Their Interactions</w:t>
      </w:r>
    </w:p>
    <w:p>
      <w:pPr>
        <w:spacing w:after="80" w:before="160"/>
        <w:jc w:val="both"/>
      </w:pPr>
      <w:r>
        <w:rPr>
          <w:rFonts w:ascii="Times New Roman" w:cs="Times New Roman" w:eastAsia="Times New Roman" w:hAnsi="Times New Roman"/>
          <w:b/>
          <w:bCs/>
          <w:color w:val="2E5395"/>
          <w:sz w:val="24"/>
          <w:szCs w:val="24"/>
        </w:rPr>
        <w:t xml:space="preserve">5.1 Field / Edge Layer</w:t>
      </w:r>
    </w:p>
    <w:p>
      <w:pPr>
        <w:spacing w:after="120" w:line="300"/>
        <w:jc w:val="both"/>
      </w:pPr>
      <w:r>
        <w:rPr>
          <w:rFonts w:ascii="Times New Roman" w:cs="Times New Roman" w:eastAsia="Times New Roman" w:hAnsi="Times New Roman"/>
          <w:sz w:val="24"/>
          <w:szCs w:val="24"/>
        </w:rPr>
        <w:t xml:space="preserve">Worker wearables (GPS/RFID/BLE tags), environmental sensors, equipment IoT sensors, and CCTV/hazard cameras form the sensing layer. They continuously generate raw location, environmental, and equipment-condition data at the point of activity.</w:t>
      </w:r>
    </w:p>
    <w:p>
      <w:pPr>
        <w:spacing w:after="80" w:before="160"/>
        <w:jc w:val="both"/>
      </w:pPr>
      <w:r>
        <w:rPr>
          <w:rFonts w:ascii="Times New Roman" w:cs="Times New Roman" w:eastAsia="Times New Roman" w:hAnsi="Times New Roman"/>
          <w:b/>
          <w:bCs/>
          <w:color w:val="2E5395"/>
          <w:sz w:val="24"/>
          <w:szCs w:val="24"/>
        </w:rPr>
        <w:t xml:space="preserve">5.2 Edge Gateway Layer</w:t>
      </w:r>
    </w:p>
    <w:p>
      <w:pPr>
        <w:spacing w:after="120" w:line="300"/>
        <w:jc w:val="both"/>
      </w:pPr>
      <w:r>
        <w:rPr>
          <w:rFonts w:ascii="Times New Roman" w:cs="Times New Roman" w:eastAsia="Times New Roman" w:hAnsi="Times New Roman"/>
          <w:sz w:val="24"/>
          <w:szCs w:val="24"/>
        </w:rPr>
        <w:t xml:space="preserve">Edge gateways installed at the mine site aggregate and filter data from nearby sensors, and run lightweight edge analytics so that obviously dangerous readings (for example, a gas concentration above a critical threshold) can trigger a local alert immediately, even before the data reaches the cloud.</w:t>
      </w:r>
    </w:p>
    <w:p>
      <w:pPr>
        <w:spacing w:after="80" w:before="160"/>
        <w:jc w:val="both"/>
      </w:pPr>
      <w:r>
        <w:rPr>
          <w:rFonts w:ascii="Times New Roman" w:cs="Times New Roman" w:eastAsia="Times New Roman" w:hAnsi="Times New Roman"/>
          <w:b/>
          <w:bCs/>
          <w:color w:val="2E5395"/>
          <w:sz w:val="24"/>
          <w:szCs w:val="24"/>
        </w:rPr>
        <w:t xml:space="preserve">5.3 Communication Layer</w:t>
      </w:r>
    </w:p>
    <w:p>
      <w:pPr>
        <w:spacing w:after="120" w:line="300"/>
        <w:jc w:val="both"/>
      </w:pPr>
      <w:r>
        <w:rPr>
          <w:rFonts w:ascii="Times New Roman" w:cs="Times New Roman" w:eastAsia="Times New Roman" w:hAnsi="Times New Roman"/>
          <w:sz w:val="24"/>
          <w:szCs w:val="24"/>
        </w:rPr>
        <w:t xml:space="preserve">A network backbone using 5G, LoRaWAN, and an MQTT broker carries data from edge gateways to the central platform, chosen for their suitability to low-power, wide-area, and often harsh underground conditions.</w:t>
      </w:r>
    </w:p>
    <w:p>
      <w:pPr>
        <w:spacing w:after="80" w:before="160"/>
        <w:jc w:val="both"/>
      </w:pPr>
      <w:r>
        <w:rPr>
          <w:rFonts w:ascii="Times New Roman" w:cs="Times New Roman" w:eastAsia="Times New Roman" w:hAnsi="Times New Roman"/>
          <w:b/>
          <w:bCs/>
          <w:color w:val="2E5395"/>
          <w:sz w:val="24"/>
          <w:szCs w:val="24"/>
        </w:rPr>
        <w:t xml:space="preserve">5.4 Event Streaming Backbone</w:t>
      </w:r>
    </w:p>
    <w:p>
      <w:pPr>
        <w:spacing w:after="120" w:line="300"/>
        <w:jc w:val="both"/>
      </w:pPr>
      <w:r>
        <w:rPr>
          <w:rFonts w:ascii="Times New Roman" w:cs="Times New Roman" w:eastAsia="Times New Roman" w:hAnsi="Times New Roman"/>
          <w:sz w:val="24"/>
          <w:szCs w:val="24"/>
        </w:rPr>
        <w:t xml:space="preserve">An event bus (such as Apache Kafka) receives all sensor and alert events and publishes them to every microservice that needs them, decoupling data producers from consumers and allowing new services to be added later without modifying existing ones.</w:t>
      </w:r>
    </w:p>
    <w:p>
      <w:pPr>
        <w:spacing w:after="80" w:before="160"/>
        <w:jc w:val="both"/>
      </w:pPr>
      <w:r>
        <w:rPr>
          <w:rFonts w:ascii="Times New Roman" w:cs="Times New Roman" w:eastAsia="Times New Roman" w:hAnsi="Times New Roman"/>
          <w:b/>
          <w:bCs/>
          <w:color w:val="2E5395"/>
          <w:sz w:val="24"/>
          <w:szCs w:val="24"/>
        </w:rPr>
        <w:t xml:space="preserve">5.5 Application Layer (Microservices)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Worker Location Service – maintains real-time and historical positions of every worker and checks for unsafe-zone entry.</w:t>
      </w:r>
    </w:p>
    <w:p>
      <w:pPr>
        <w:pStyle w:val="ListParagraph"/>
        <w:numPr>
          <w:ilvl w:val="0"/>
          <w:numId w:val="2"/>
        </w:numPr>
        <w:spacing w:after="60" w:line="276"/>
        <w:jc w:val="both"/>
      </w:pPr>
      <w:r>
        <w:rPr>
          <w:rFonts w:ascii="Times New Roman" w:cs="Times New Roman" w:eastAsia="Times New Roman" w:hAnsi="Times New Roman"/>
          <w:sz w:val="24"/>
          <w:szCs w:val="24"/>
        </w:rPr>
        <w:t xml:space="preserve">Environmental Monitoring Service – tracks gas, temperature, humidity, and dust readings against safe thresholds.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Hazard Detection Service – correlates location, environmental, and camera data to identify hazardous situations and raise alerts.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Predictive Maintenance Service – applies machine-learning models to equipment sensor data to forecast failures and recommend maintenance.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Emergency Coordination Service – manages incident workflows, notifies responders, and tracks response status.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Safety Reporting Service – aggregates data from all other services to produce compliance and management reports.</w:t>
      </w:r>
    </w:p>
    <w:p>
      <w:pPr>
        <w:spacing w:after="80" w:before="160"/>
        <w:jc w:val="both"/>
      </w:pPr>
      <w:r>
        <w:rPr>
          <w:rFonts w:ascii="Times New Roman" w:cs="Times New Roman" w:eastAsia="Times New Roman" w:hAnsi="Times New Roman"/>
          <w:b/>
          <w:bCs/>
          <w:color w:val="2E5395"/>
          <w:sz w:val="24"/>
          <w:szCs w:val="24"/>
        </w:rPr>
        <w:t xml:space="preserve">5.6 Data Layer</w:t>
      </w:r>
    </w:p>
    <w:p>
      <w:pPr>
        <w:spacing w:after="120" w:line="300"/>
        <w:jc w:val="both"/>
      </w:pPr>
      <w:r>
        <w:rPr>
          <w:rFonts w:ascii="Times New Roman" w:cs="Times New Roman" w:eastAsia="Times New Roman" w:hAnsi="Times New Roman"/>
          <w:sz w:val="24"/>
          <w:szCs w:val="24"/>
        </w:rPr>
        <w:t xml:space="preserve">A time-series database (such as InfluxDB) stores high-frequency sensor data, a relational database (such as PostgreSQL) stores structured records of workers, equipment, and incidents, and a data lake stores historical data used to train and refine predictive-maintenance models.</w:t>
      </w:r>
    </w:p>
    <w:p>
      <w:pPr>
        <w:spacing w:after="80" w:before="160"/>
        <w:jc w:val="both"/>
      </w:pPr>
      <w:r>
        <w:rPr>
          <w:rFonts w:ascii="Times New Roman" w:cs="Times New Roman" w:eastAsia="Times New Roman" w:hAnsi="Times New Roman"/>
          <w:b/>
          <w:bCs/>
          <w:color w:val="2E5395"/>
          <w:sz w:val="24"/>
          <w:szCs w:val="24"/>
        </w:rPr>
        <w:t xml:space="preserve">5.7 External Systems and Presentation Layer</w:t>
      </w:r>
    </w:p>
    <w:p>
      <w:pPr>
        <w:spacing w:after="120" w:line="300"/>
        <w:jc w:val="both"/>
      </w:pPr>
      <w:r>
        <w:rPr>
          <w:rFonts w:ascii="Times New Roman" w:cs="Times New Roman" w:eastAsia="Times New Roman" w:hAnsi="Times New Roman"/>
          <w:sz w:val="24"/>
          <w:szCs w:val="24"/>
        </w:rPr>
        <w:t xml:space="preserve">The platform integrates with external emergency services APIs, an SMS/alert gateway, and HR/ERP systems for workforce data. Control-room staff and supervisors interact with the system through a web dashboard, while field workers and emergency responders use a mobile application, both of which subscribe to real-time updates from the relevant microservices.</w:t>
      </w:r>
    </w:p>
    <w:p>
      <w:pPr>
        <w:pStyle w:val="Heading1"/>
        <w:spacing w:after="140" w:before="280"/>
        <w:jc w:val="both"/>
      </w:pPr>
      <w:r>
        <w:rPr>
          <w:rFonts w:ascii="Times New Roman" w:cs="Times New Roman" w:eastAsia="Times New Roman" w:hAnsi="Times New Roman"/>
          <w:b/>
          <w:bCs/>
          <w:color w:val="1F3864"/>
          <w:sz w:val="28"/>
          <w:szCs w:val="28"/>
        </w:rPr>
        <w:t xml:space="preserve">6. Discussion of Quality Attributes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70"/>
              <w:left w:type="dxa" w:w="100"/>
              <w:bottom w:type="dxa" w:w="70"/>
              <w:right w:type="dxa" w:w="100"/>
            </w:tcMar>
            <w:vAlign w:val="center"/>
          </w:tcPr>
          <w:p>
            <w:pPr>
              <w:jc w:val="both"/>
            </w:pPr>
            <w:r>
              <w:rPr>
                <w:rFonts w:ascii="Times New Roman" w:cs="Times New Roman" w:eastAsia="Times New Roman" w:hAnsi="Times New Roman"/>
                <w:b/>
                <w:bCs/>
                <w:color w:val="FFFFFF"/>
                <w:sz w:val="22"/>
                <w:szCs w:val="22"/>
              </w:rPr>
              <w:t xml:space="preserve">Quality Attribute</w:t>
            </w:r>
          </w:p>
        </w:tc>
        <w:tc>
          <w:tcPr>
            <w:tcW w:type="dxa" w:w="6750"/>
            <w:shd w:fill="1F3864" w:val="clear"/>
            <w:tcMar>
              <w:top w:type="dxa" w:w="70"/>
              <w:left w:type="dxa" w:w="100"/>
              <w:bottom w:type="dxa" w:w="70"/>
              <w:right w:type="dxa" w:w="100"/>
            </w:tcMar>
            <w:vAlign w:val="center"/>
          </w:tcPr>
          <w:p>
            <w:pPr>
              <w:jc w:val="both"/>
            </w:pPr>
            <w:r>
              <w:rPr>
                <w:rFonts w:ascii="Times New Roman" w:cs="Times New Roman" w:eastAsia="Times New Roman" w:hAnsi="Times New Roman"/>
                <w:b/>
                <w:bCs/>
                <w:color w:val="FFFFFF"/>
                <w:sz w:val="22"/>
                <w:szCs w:val="22"/>
              </w:rPr>
              <w:t xml:space="preserve">How the Architecture Addresses It</w:t>
            </w:r>
          </w:p>
        </w:tc>
      </w:tr>
      <w:tr>
        <w:trPr>
          <w:tblHeader w:val="false"/>
        </w:trPr>
        <w:tc>
          <w:tcPr>
            <w:tcW w:type="dxa" w:w="2600"/>
            <w:tcMar>
              <w:top w:type="dxa" w:w="70"/>
              <w:left w:type="dxa" w:w="100"/>
              <w:bottom w:type="dxa" w:w="70"/>
              <w:right w:type="dxa" w:w="100"/>
            </w:tcMar>
            <w:vAlign w:val="center"/>
          </w:tcPr>
          <w:p>
            <w:pPr>
              <w:jc w:val="both"/>
            </w:pPr>
            <w:r>
              <w:rPr>
                <w:rFonts w:ascii="Times New Roman" w:cs="Times New Roman" w:eastAsia="Times New Roman" w:hAnsi="Times New Roman"/>
                <w:b w:val="false"/>
                <w:bCs w:val="false"/>
                <w:color w:val="000000"/>
                <w:sz w:val="22"/>
                <w:szCs w:val="22"/>
              </w:rPr>
              <w:t xml:space="preserve">Scalability</w:t>
            </w:r>
          </w:p>
        </w:tc>
        <w:tc>
          <w:tcPr>
            <w:tcW w:type="dxa" w:w="6750"/>
            <w:tcMar>
              <w:top w:type="dxa" w:w="70"/>
              <w:left w:type="dxa" w:w="100"/>
              <w:bottom w:type="dxa" w:w="70"/>
              <w:right w:type="dxa" w:w="100"/>
            </w:tcMar>
            <w:vAlign w:val="center"/>
          </w:tcPr>
          <w:p>
            <w:pPr>
              <w:jc w:val="both"/>
            </w:pPr>
            <w:r>
              <w:rPr>
                <w:rFonts w:ascii="Times New Roman" w:cs="Times New Roman" w:eastAsia="Times New Roman" w:hAnsi="Times New Roman"/>
                <w:b w:val="false"/>
                <w:bCs w:val="false"/>
                <w:color w:val="000000"/>
                <w:sz w:val="22"/>
                <w:szCs w:val="22"/>
              </w:rPr>
              <w:t xml:space="preserve">Each microservice and the event bus can be scaled independently (e.g., adding more Hazard Detection instances during peak shifts) without affecting other services.</w:t>
            </w:r>
          </w:p>
        </w:tc>
      </w:tr>
      <w:tr>
        <w:trPr>
          <w:tblHeader w:val="false"/>
        </w:trPr>
        <w:tc>
          <w:tcPr>
            <w:tcW w:type="dxa" w:w="2600"/>
            <w:tcMar>
              <w:top w:type="dxa" w:w="70"/>
              <w:left w:type="dxa" w:w="100"/>
              <w:bottom w:type="dxa" w:w="70"/>
              <w:right w:type="dxa" w:w="100"/>
            </w:tcMar>
            <w:vAlign w:val="center"/>
          </w:tcPr>
          <w:p>
            <w:pPr>
              <w:jc w:val="both"/>
            </w:pPr>
            <w:r>
              <w:rPr>
                <w:rFonts w:ascii="Times New Roman" w:cs="Times New Roman" w:eastAsia="Times New Roman" w:hAnsi="Times New Roman"/>
                <w:b w:val="false"/>
                <w:bCs w:val="false"/>
                <w:color w:val="000000"/>
                <w:sz w:val="22"/>
                <w:szCs w:val="22"/>
              </w:rPr>
              <w:t xml:space="preserve">Security</w:t>
            </w:r>
          </w:p>
        </w:tc>
        <w:tc>
          <w:tcPr>
            <w:tcW w:type="dxa" w:w="6750"/>
            <w:tcMar>
              <w:top w:type="dxa" w:w="70"/>
              <w:left w:type="dxa" w:w="100"/>
              <w:bottom w:type="dxa" w:w="70"/>
              <w:right w:type="dxa" w:w="100"/>
            </w:tcMar>
            <w:vAlign w:val="center"/>
          </w:tcPr>
          <w:p>
            <w:pPr>
              <w:jc w:val="both"/>
            </w:pPr>
            <w:r>
              <w:rPr>
                <w:rFonts w:ascii="Times New Roman" w:cs="Times New Roman" w:eastAsia="Times New Roman" w:hAnsi="Times New Roman"/>
                <w:b w:val="false"/>
                <w:bCs w:val="false"/>
                <w:color w:val="000000"/>
                <w:sz w:val="22"/>
                <w:szCs w:val="22"/>
              </w:rPr>
              <w:t xml:space="preserve">Edge gateways and the communication layer use encrypted channels (TLS/VPN); access to services and dashboards is controlled through authentication and role-based authorisation.</w:t>
            </w:r>
          </w:p>
        </w:tc>
      </w:tr>
      <w:tr>
        <w:trPr>
          <w:tblHeader w:val="false"/>
        </w:trPr>
        <w:tc>
          <w:tcPr>
            <w:tcW w:type="dxa" w:w="2600"/>
            <w:tcMar>
              <w:top w:type="dxa" w:w="70"/>
              <w:left w:type="dxa" w:w="100"/>
              <w:bottom w:type="dxa" w:w="70"/>
              <w:right w:type="dxa" w:w="100"/>
            </w:tcMar>
            <w:vAlign w:val="center"/>
          </w:tcPr>
          <w:p>
            <w:pPr>
              <w:jc w:val="both"/>
            </w:pPr>
            <w:r>
              <w:rPr>
                <w:rFonts w:ascii="Times New Roman" w:cs="Times New Roman" w:eastAsia="Times New Roman" w:hAnsi="Times New Roman"/>
                <w:b w:val="false"/>
                <w:bCs w:val="false"/>
                <w:color w:val="000000"/>
                <w:sz w:val="22"/>
                <w:szCs w:val="22"/>
              </w:rPr>
              <w:t xml:space="preserve">Performance</w:t>
            </w:r>
          </w:p>
        </w:tc>
        <w:tc>
          <w:tcPr>
            <w:tcW w:type="dxa" w:w="6750"/>
            <w:tcMar>
              <w:top w:type="dxa" w:w="70"/>
              <w:left w:type="dxa" w:w="100"/>
              <w:bottom w:type="dxa" w:w="70"/>
              <w:right w:type="dxa" w:w="100"/>
            </w:tcMar>
            <w:vAlign w:val="center"/>
          </w:tcPr>
          <w:p>
            <w:pPr>
              <w:jc w:val="both"/>
            </w:pPr>
            <w:r>
              <w:rPr>
                <w:rFonts w:ascii="Times New Roman" w:cs="Times New Roman" w:eastAsia="Times New Roman" w:hAnsi="Times New Roman"/>
                <w:b w:val="false"/>
                <w:bCs w:val="false"/>
                <w:color w:val="000000"/>
                <w:sz w:val="22"/>
                <w:szCs w:val="22"/>
              </w:rPr>
              <w:t xml:space="preserve">Edge analytics evaluate time-critical conditions locally, and the event-driven backbone delivers alerts to services and users within seconds instead of waiting for periodic polling.</w:t>
            </w:r>
          </w:p>
        </w:tc>
      </w:tr>
      <w:tr>
        <w:trPr>
          <w:tblHeader w:val="false"/>
        </w:trPr>
        <w:tc>
          <w:tcPr>
            <w:tcW w:type="dxa" w:w="2600"/>
            <w:tcMar>
              <w:top w:type="dxa" w:w="70"/>
              <w:left w:type="dxa" w:w="100"/>
              <w:bottom w:type="dxa" w:w="70"/>
              <w:right w:type="dxa" w:w="100"/>
            </w:tcMar>
            <w:vAlign w:val="center"/>
          </w:tcPr>
          <w:p>
            <w:pPr>
              <w:jc w:val="both"/>
            </w:pPr>
            <w:r>
              <w:rPr>
                <w:rFonts w:ascii="Times New Roman" w:cs="Times New Roman" w:eastAsia="Times New Roman" w:hAnsi="Times New Roman"/>
                <w:b w:val="false"/>
                <w:bCs w:val="false"/>
                <w:color w:val="000000"/>
                <w:sz w:val="22"/>
                <w:szCs w:val="22"/>
              </w:rPr>
              <w:t xml:space="preserve">Reliability</w:t>
            </w:r>
          </w:p>
        </w:tc>
        <w:tc>
          <w:tcPr>
            <w:tcW w:type="dxa" w:w="6750"/>
            <w:tcMar>
              <w:top w:type="dxa" w:w="70"/>
              <w:left w:type="dxa" w:w="100"/>
              <w:bottom w:type="dxa" w:w="70"/>
              <w:right w:type="dxa" w:w="100"/>
            </w:tcMar>
            <w:vAlign w:val="center"/>
          </w:tcPr>
          <w:p>
            <w:pPr>
              <w:jc w:val="both"/>
            </w:pPr>
            <w:r>
              <w:rPr>
                <w:rFonts w:ascii="Times New Roman" w:cs="Times New Roman" w:eastAsia="Times New Roman" w:hAnsi="Times New Roman"/>
                <w:b w:val="false"/>
                <w:bCs w:val="false"/>
                <w:color w:val="000000"/>
                <w:sz w:val="22"/>
                <w:szCs w:val="22"/>
              </w:rPr>
              <w:t xml:space="preserve">Loose coupling through the event bus means the failure of one microservice (e.g., Reporting) does not stop hazard detection or emergency coordination from functioning.</w:t>
            </w:r>
          </w:p>
        </w:tc>
      </w:tr>
      <w:tr>
        <w:trPr>
          <w:tblHeader w:val="false"/>
        </w:trPr>
        <w:tc>
          <w:tcPr>
            <w:tcW w:type="dxa" w:w="2600"/>
            <w:tcMar>
              <w:top w:type="dxa" w:w="70"/>
              <w:left w:type="dxa" w:w="100"/>
              <w:bottom w:type="dxa" w:w="70"/>
              <w:right w:type="dxa" w:w="100"/>
            </w:tcMar>
            <w:vAlign w:val="center"/>
          </w:tcPr>
          <w:p>
            <w:pPr>
              <w:jc w:val="both"/>
            </w:pPr>
            <w:r>
              <w:rPr>
                <w:rFonts w:ascii="Times New Roman" w:cs="Times New Roman" w:eastAsia="Times New Roman" w:hAnsi="Times New Roman"/>
                <w:b w:val="false"/>
                <w:bCs w:val="false"/>
                <w:color w:val="000000"/>
                <w:sz w:val="22"/>
                <w:szCs w:val="22"/>
              </w:rPr>
              <w:t xml:space="preserve">Maintainability</w:t>
            </w:r>
          </w:p>
        </w:tc>
        <w:tc>
          <w:tcPr>
            <w:tcW w:type="dxa" w:w="6750"/>
            <w:tcMar>
              <w:top w:type="dxa" w:w="70"/>
              <w:left w:type="dxa" w:w="100"/>
              <w:bottom w:type="dxa" w:w="70"/>
              <w:right w:type="dxa" w:w="100"/>
            </w:tcMar>
            <w:vAlign w:val="center"/>
          </w:tcPr>
          <w:p>
            <w:pPr>
              <w:jc w:val="both"/>
            </w:pPr>
            <w:r>
              <w:rPr>
                <w:rFonts w:ascii="Times New Roman" w:cs="Times New Roman" w:eastAsia="Times New Roman" w:hAnsi="Times New Roman"/>
                <w:b w:val="false"/>
                <w:bCs w:val="false"/>
                <w:color w:val="000000"/>
                <w:sz w:val="22"/>
                <w:szCs w:val="22"/>
              </w:rPr>
              <w:t xml:space="preserve">Microservices can be updated, redeployed, or replaced individually as sensors, regulations, or ML models evolve, without redeploying the entire system.</w:t>
            </w:r>
          </w:p>
        </w:tc>
      </w:tr>
      <w:tr>
        <w:trPr>
          <w:tblHeader w:val="false"/>
        </w:trPr>
        <w:tc>
          <w:tcPr>
            <w:tcW w:type="dxa" w:w="2600"/>
            <w:tcMar>
              <w:top w:type="dxa" w:w="70"/>
              <w:left w:type="dxa" w:w="100"/>
              <w:bottom w:type="dxa" w:w="70"/>
              <w:right w:type="dxa" w:w="100"/>
            </w:tcMar>
            <w:vAlign w:val="center"/>
          </w:tcPr>
          <w:p>
            <w:pPr>
              <w:jc w:val="both"/>
            </w:pPr>
            <w:r>
              <w:rPr>
                <w:rFonts w:ascii="Times New Roman" w:cs="Times New Roman" w:eastAsia="Times New Roman" w:hAnsi="Times New Roman"/>
                <w:b w:val="false"/>
                <w:bCs w:val="false"/>
                <w:color w:val="000000"/>
                <w:sz w:val="22"/>
                <w:szCs w:val="22"/>
              </w:rPr>
              <w:t xml:space="preserve">Availability</w:t>
            </w:r>
          </w:p>
        </w:tc>
        <w:tc>
          <w:tcPr>
            <w:tcW w:type="dxa" w:w="6750"/>
            <w:tcMar>
              <w:top w:type="dxa" w:w="70"/>
              <w:left w:type="dxa" w:w="100"/>
              <w:bottom w:type="dxa" w:w="70"/>
              <w:right w:type="dxa" w:w="100"/>
            </w:tcMar>
            <w:vAlign w:val="center"/>
          </w:tcPr>
          <w:p>
            <w:pPr>
              <w:jc w:val="both"/>
            </w:pPr>
            <w:r>
              <w:rPr>
                <w:rFonts w:ascii="Times New Roman" w:cs="Times New Roman" w:eastAsia="Times New Roman" w:hAnsi="Times New Roman"/>
                <w:b w:val="false"/>
                <w:bCs w:val="false"/>
                <w:color w:val="000000"/>
                <w:sz w:val="22"/>
                <w:szCs w:val="22"/>
              </w:rPr>
              <w:t xml:space="preserve">Edge-level processing allows core safety functions to keep working during temporary loss of connectivity to the central cloud, and services can be replicated across zones/sites.</w:t>
            </w:r>
          </w:p>
        </w:tc>
      </w:tr>
    </w:tbl>
    <w:p>
      <w:pPr>
        <w:pStyle w:val="Heading1"/>
        <w:spacing w:after="140" w:before="280"/>
        <w:jc w:val="both"/>
      </w:pPr>
      <w:r>
        <w:rPr>
          <w:rFonts w:ascii="Times New Roman" w:cs="Times New Roman" w:eastAsia="Times New Roman" w:hAnsi="Times New Roman"/>
          <w:b/>
          <w:bCs/>
          <w:color w:val="1F3864"/>
          <w:sz w:val="28"/>
          <w:szCs w:val="28"/>
        </w:rPr>
        <w:t xml:space="preserve">7. Justification of Architectural Decisions</w:t>
      </w:r>
    </w:p>
    <w:p>
      <w:pPr>
        <w:spacing w:after="80" w:before="160"/>
        <w:jc w:val="both"/>
      </w:pPr>
      <w:r>
        <w:rPr>
          <w:rFonts w:ascii="Times New Roman" w:cs="Times New Roman" w:eastAsia="Times New Roman" w:hAnsi="Times New Roman"/>
          <w:b/>
          <w:bCs/>
          <w:color w:val="2E5395"/>
          <w:sz w:val="24"/>
          <w:szCs w:val="24"/>
        </w:rPr>
        <w:t xml:space="preserve">7.1 Rationale</w:t>
      </w:r>
    </w:p>
    <w:p>
      <w:pPr>
        <w:spacing w:after="120" w:line="300"/>
        <w:jc w:val="both"/>
      </w:pPr>
      <w:r>
        <w:rPr>
          <w:rFonts w:ascii="Times New Roman" w:cs="Times New Roman" w:eastAsia="Times New Roman" w:hAnsi="Times New Roman"/>
          <w:sz w:val="24"/>
          <w:szCs w:val="24"/>
        </w:rPr>
        <w:t xml:space="preserve">The combination of edge computing, event-driven communication, and microservices was chosen because mining safety is fundamentally about reacting quickly and reliably to continuous streams of sensor data under conditions of unreliable connectivity — requirements that a single centralised or monolithic system would struggle to meet. Splitting the system into independent services also reflects the natural separation of responsibilities in the problem statement itself (tracking, monitoring, hazard detection, maintenance, emergency response, and reporting).</w:t>
      </w:r>
    </w:p>
    <w:p>
      <w:pPr>
        <w:spacing w:after="80" w:before="160"/>
        <w:jc w:val="both"/>
      </w:pPr>
      <w:r>
        <w:rPr>
          <w:rFonts w:ascii="Times New Roman" w:cs="Times New Roman" w:eastAsia="Times New Roman" w:hAnsi="Times New Roman"/>
          <w:b/>
          <w:bCs/>
          <w:color w:val="2E5395"/>
          <w:sz w:val="24"/>
          <w:szCs w:val="24"/>
        </w:rPr>
        <w:t xml:space="preserve">7.2 Trade-offs Considered</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Microservices introduce operational complexity (deployment, monitoring, inter-service communication) compared to a monolith, but this is accepted in exchange for independent scalability and fault isolation, which are critical for a life-safety system.</w:t>
      </w:r>
    </w:p>
    <w:p>
      <w:pPr>
        <w:pStyle w:val="ListParagraph"/>
        <w:numPr>
          <w:ilvl w:val="0"/>
          <w:numId w:val="2"/>
        </w:numPr>
        <w:spacing w:after="60" w:line="276"/>
        <w:jc w:val="both"/>
      </w:pPr>
      <w:r>
        <w:rPr>
          <w:rFonts w:ascii="Times New Roman" w:cs="Times New Roman" w:eastAsia="Times New Roman" w:hAnsi="Times New Roman"/>
          <w:sz w:val="24"/>
          <w:szCs w:val="24"/>
        </w:rPr>
        <w:t xml:space="preserve">Edge processing adds hardware cost at each gateway, but is justified because it enables local hazard detection even when the network link to the cloud is down.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An event-driven design is harder to test and trace end-to-end than a simple request-response design, but it is necessary to support real-time, many-to-many notification of hazards across services and users.</w:t>
      </w:r>
    </w:p>
    <w:p>
      <w:pPr>
        <w:spacing w:after="80" w:before="160"/>
        <w:jc w:val="both"/>
      </w:pPr>
      <w:r>
        <w:rPr>
          <w:rFonts w:ascii="Times New Roman" w:cs="Times New Roman" w:eastAsia="Times New Roman" w:hAnsi="Times New Roman"/>
          <w:b/>
          <w:bCs/>
          <w:color w:val="2E5395"/>
          <w:sz w:val="24"/>
          <w:szCs w:val="24"/>
        </w:rPr>
        <w:t xml:space="preserve">7.3 Support for Future Enhancements</w:t>
      </w:r>
    </w:p>
    <w:p>
      <w:pPr>
        <w:spacing w:after="120" w:line="300"/>
        <w:jc w:val="both"/>
      </w:pPr>
      <w:r>
        <w:rPr>
          <w:rFonts w:ascii="Times New Roman" w:cs="Times New Roman" w:eastAsia="Times New Roman" w:hAnsi="Times New Roman"/>
          <w:sz w:val="24"/>
          <w:szCs w:val="24"/>
        </w:rPr>
        <w:t xml:space="preserve">The chosen architecture supports future growth in several ways. New sensor types or additional mining sites can be onboarded by adding producers to the existing event bus without changing other services. New capabilities, such as a drone-based inspection service or a driver-fatigue detection service, can be added as new microservices that simply subscribe to the event bus. The data lake also allows predictive-maintenance and hazard-detection models to be retrained and improved over time as more historical data becomes available, supporting long-term maintainability and continuous improvement of the platform.</w:t>
      </w:r>
    </w:p>
    <w:p>
      <w:pPr>
        <w:spacing w:before="200"/>
      </w:pPr>
    </w:p>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7aaf152e4f5fe9fdb82348720ba0b5bfd01240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2026-07-30T09:04:27.114Z</dcterms:created>
  <dcterms:modified xsi:type="dcterms:W3CDTF">2026-07-30T09:04:27.139Z</dcterms:modified>
</cp:coreProperties>
</file>

<file path=docProps/custom.xml><?xml version="1.0" encoding="utf-8"?>
<Properties xmlns="http://schemas.openxmlformats.org/officeDocument/2006/custom-properties" xmlns:vt="http://schemas.openxmlformats.org/officeDocument/2006/docPropsVTypes"/>
</file>