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4"/>
        </w:rPr>
        <w:t>QuickBite Payment Method Adoption and Transaction Failure Rates - Project Report</w:t>
      </w:r>
    </w:p>
    <w:p>
      <w:pPr>
        <w:spacing w:before="0" w:after="280"/>
      </w:pPr>
      <w:r>
        <w:rPr>
          <w:rFonts w:ascii="Calibri" w:hAnsi="Calibri"/>
          <w:i/>
          <w:color w:val="2B6CB0"/>
          <w:sz w:val="24"/>
        </w:rPr>
        <w:t>Gateway Preferences, Settlement Performance, Failure Diagnostics, and Checkout Optimization</w:t>
      </w:r>
    </w:p>
    <w:p>
      <w:pPr>
        <w:spacing w:before="0" w:after="280"/>
        <w:pBdr>
          <w:bottom w:val="single" w:sz="12" w:space="1" w:color="1A365D"/>
        </w:pBdr>
      </w:pPr>
    </w:p>
    <w:p>
      <w:pPr>
        <w:keepNext/>
        <w:spacing w:before="320" w:after="120"/>
      </w:pPr>
      <w:r>
        <w:rPr>
          <w:rFonts w:ascii="Calibri" w:hAnsi="Calibri"/>
          <w:b/>
          <w:color w:val="1A365D"/>
          <w:sz w:val="28"/>
        </w:rPr>
        <w:t>1. Project Overview</w:t>
      </w:r>
    </w:p>
    <w:p>
      <w:pPr>
        <w:spacing w:before="0" w:after="120" w:line="276" w:lineRule="auto"/>
      </w:pPr>
      <w:r>
        <w:rPr>
          <w:rFonts w:ascii="Calibri" w:hAnsi="Calibri"/>
          <w:color w:val="2D3748"/>
          <w:sz w:val="22"/>
        </w:rPr>
        <w:t>The objective of this project is to analyze customer payment method preferences, gateway adoption, settlement reliability, and transaction failure rates for the QuickBite food delivery platform using Python and Pandas. The evaluation was conducted using two primary operational datasets: the Payments dataset (tracking payment identifiers, payment modes, payment statuses, and transaction settlement dates) and the Orders dataset (tracking order amounts, discounts, fulfillment statuses, delivery timings, and order timestamps).</w:t>
      </w:r>
    </w:p>
    <w:p>
      <w:pPr>
        <w:spacing w:before="0" w:after="120" w:line="276" w:lineRule="auto"/>
      </w:pPr>
      <w:r>
        <w:rPr>
          <w:rFonts w:ascii="Calibri" w:hAnsi="Calibri"/>
          <w:color w:val="2D3748"/>
          <w:sz w:val="22"/>
        </w:rPr>
        <w:t>The analysis was performed in two comprehensive stages. First, the datasets were cleaned and audited by resolving missing delivery values, normalizing date-time types, stripping whitespace from categorical text, and confirming primary-to-foreign key relational integrity. Second, the datasets were combined via order_id to construct a master financial transaction ledger. This enabled rigorous exploratory data analysis across payment gateways, order basket size brackets, and failure root causes to propose data-driven platform optimizations that eliminate lost checkout revenue.</w:t>
      </w:r>
    </w:p>
    <w:p>
      <w:pPr>
        <w:keepNext/>
        <w:spacing w:before="320" w:after="120"/>
      </w:pPr>
      <w:r>
        <w:rPr>
          <w:rFonts w:ascii="Calibri" w:hAnsi="Calibri"/>
          <w:b/>
          <w:color w:val="1A365D"/>
          <w:sz w:val="28"/>
        </w:rPr>
        <w:t>2. Data Cleaning Summary</w:t>
      </w:r>
    </w:p>
    <w:p>
      <w:pPr>
        <w:spacing w:before="0" w:after="120" w:line="276" w:lineRule="auto"/>
      </w:pPr>
      <w:r>
        <w:rPr>
          <w:rFonts w:ascii="Calibri" w:hAnsi="Calibri"/>
          <w:color w:val="2D3748"/>
          <w:sz w:val="22"/>
        </w:rPr>
        <w:t>The Payments dataset initially contained 50 transaction records across 5 attributes: payment_id, order_id, payment_method, payment_status, and payment_date. The Orders dataset similarly recorded 50 orders containing order_id, customer_id, restaurant_id, order_date, order_status, delivery_minutes, order_amount, and discount.</w:t>
      </w:r>
    </w:p>
    <w:p>
      <w:pPr>
        <w:spacing w:before="0" w:after="120" w:line="276" w:lineRule="auto"/>
      </w:pPr>
      <w:r>
        <w:rPr>
          <w:rFonts w:ascii="Calibri" w:hAnsi="Calibri"/>
          <w:color w:val="2D3748"/>
          <w:sz w:val="22"/>
        </w:rPr>
        <w:t>Data quality validation established that the Payments table contained zero duplicate rows and zero missing values across all columns. In the Orders table, six null values were detected in delivery_minutes; cross-referencing demonstrated that all six corresponded to Cancelled orders, which were appropriately imputed with 0. Both date columns (payment_date and order_date) were converted from raw strings into standardized datetime format. String columns ('payment_method', 'payment_status', 'order_status') were cleaned of accidental padding.</w:t>
      </w:r>
    </w:p>
    <w:p>
      <w:pPr>
        <w:spacing w:before="0" w:after="120" w:line="276" w:lineRule="auto"/>
      </w:pPr>
      <w:r>
        <w:rPr>
          <w:rFonts w:ascii="Calibri" w:hAnsi="Calibri"/>
          <w:color w:val="2D3748"/>
          <w:sz w:val="22"/>
        </w:rPr>
        <w:t>Relational key validation confirmed that every order_id in the Payments dataset had a corresponding valid record in the Orders table, ensuring zero orphaned transactions. Using order_id, a consolidated master transactional ledger was formed. A Net Revenue metric was calculated as (order_amount - discount), and transactions were binned into four basket size tiers: Low (&lt; ₹500), Medium (₹500 - ₹1,000), High (₹1,000 - ₹1,500), and Very High (&gt; ₹1,500).</w:t>
      </w:r>
    </w:p>
    <w:p>
      <w:pPr>
        <w:keepNext/>
        <w:spacing w:before="320" w:after="120"/>
      </w:pPr>
      <w:r>
        <w:rPr>
          <w:rFonts w:ascii="Calibri" w:hAnsi="Calibri"/>
          <w:b/>
          <w:color w:val="1A365D"/>
          <w:sz w:val="28"/>
        </w:rPr>
        <w:t>3. Overall Payment Performance &amp; Key KPIs</w:t>
      </w:r>
    </w:p>
    <w:p>
      <w:pPr>
        <w:spacing w:before="0" w:after="120" w:line="276" w:lineRule="auto"/>
      </w:pPr>
      <w:r>
        <w:rPr>
          <w:rFonts w:ascii="Calibri" w:hAnsi="Calibri"/>
          <w:color w:val="2D3748"/>
          <w:sz w:val="22"/>
        </w:rPr>
        <w:t>The analysis of the master transactional dataset reveals that QuickBite processed ₹47,839.73 in total gross order volume across 50 customer checkouts, realizing ₹39,805.75 in successfully settled net revenue. Across the platform, 43 checkouts (86.00%) completed successfully with a Paid status, 4 transactions (8.00%) remained in an unconfirmed Pending state, and 3 transactions (6.00%) suffered terminal Payment Failures.</w:t>
      </w:r>
    </w:p>
    <w:p>
      <w:pPr>
        <w:spacing w:before="0" w:after="120" w:line="276" w:lineRule="auto"/>
      </w:pPr>
      <w:r>
        <w:rPr>
          <w:rFonts w:ascii="Calibri" w:hAnsi="Calibri"/>
          <w:color w:val="2D3748"/>
          <w:sz w:val="22"/>
        </w:rPr>
        <w:t>Direct checkout drop-offs from failed transactions resulted in ₹2,860.27 in lost net revenue, while unresolved pending transactions placed an additional ₹3,578.71 of pipeline sales at risk of dispute or cancellation. In total, 13.91% of platform net order value (₹6,438.98) experienced settlement friction.</w:t>
      </w:r>
    </w:p>
    <w:tbl>
      <w:tblPr>
        <w:tblW w:type="auto" w:w="0"/>
        <w:jc w:val="center"/>
        <w:tblLook w:firstColumn="1" w:firstRow="1" w:lastColumn="0" w:lastRow="0" w:noHBand="0" w:noVBand="1" w:val="04A0"/>
        <w:tblBorders>
          <w:top w:val="single" w:sz="4" w:space="0" w:color="D2D6DC"/>
          <w:bottom w:val="single" w:sz="4" w:space="0" w:color="D2D6DC"/>
          <w:left w:val="none"/>
          <w:right w:val="none"/>
          <w:insideH w:val="single" w:sz="4" w:space="0" w:color="D2D6DC"/>
          <w:insideV w:val="none"/>
        </w:tblBorders>
      </w:tblPr>
      <w:tblGrid>
        <w:gridCol w:w="3120"/>
        <w:gridCol w:w="3120"/>
        <w:gridCol w:w="3120"/>
      </w:tblGrid>
      <w:tr>
        <w:trPr>
          <w:tblHeader/>
        </w:trPr>
        <w:tc>
          <w:tcPr>
            <w:tcW w:type="dxa" w:w="3888"/>
            <w:shd w:fill="1A365D"/>
            <w:tcMar>
              <w:top w:w="120" w:type="dxa"/>
              <w:bottom w:w="120" w:type="dxa"/>
              <w:left w:w="120" w:type="dxa"/>
              <w:right w:w="120" w:type="dxa"/>
            </w:tcMar>
          </w:tcPr>
          <w:p>
            <w:pPr>
              <w:spacing w:before="0" w:after="0"/>
              <w:jc w:val="left"/>
            </w:pPr>
            <w:r>
              <w:rPr>
                <w:rFonts w:ascii="Calibri" w:hAnsi="Calibri"/>
                <w:b/>
                <w:color w:val="FFFFFF"/>
                <w:sz w:val="20"/>
              </w:rPr>
              <w:t>Payment Performance KPI</w:t>
            </w:r>
          </w:p>
        </w:tc>
        <w:tc>
          <w:tcPr>
            <w:tcW w:type="dxa" w:w="2160"/>
            <w:shd w:fill="1A365D"/>
            <w:tcMar>
              <w:top w:w="120" w:type="dxa"/>
              <w:bottom w:w="120" w:type="dxa"/>
              <w:left w:w="120" w:type="dxa"/>
              <w:right w:w="120" w:type="dxa"/>
            </w:tcMar>
          </w:tcPr>
          <w:p>
            <w:pPr>
              <w:spacing w:before="0" w:after="0"/>
              <w:jc w:val="right"/>
            </w:pPr>
            <w:r>
              <w:rPr>
                <w:rFonts w:ascii="Calibri" w:hAnsi="Calibri"/>
                <w:b/>
                <w:color w:val="FFFFFF"/>
                <w:sz w:val="20"/>
              </w:rPr>
              <w:t>Observed Metric</w:t>
            </w:r>
          </w:p>
        </w:tc>
        <w:tc>
          <w:tcPr>
            <w:tcW w:type="dxa" w:w="3312"/>
            <w:shd w:fill="1A365D"/>
            <w:tcMar>
              <w:top w:w="120" w:type="dxa"/>
              <w:bottom w:w="120" w:type="dxa"/>
              <w:left w:w="120" w:type="dxa"/>
              <w:right w:w="120" w:type="dxa"/>
            </w:tcMar>
          </w:tcPr>
          <w:p>
            <w:pPr>
              <w:spacing w:before="0" w:after="0"/>
              <w:jc w:val="left"/>
            </w:pPr>
            <w:r>
              <w:rPr>
                <w:rFonts w:ascii="Calibri" w:hAnsi="Calibri"/>
                <w:b/>
                <w:color w:val="FFFFFF"/>
                <w:sz w:val="20"/>
              </w:rPr>
              <w:t>Strategic Context</w:t>
            </w:r>
          </w:p>
        </w:tc>
      </w:tr>
      <w:tr>
        <w:trPr>
          <w:cantSplit/>
        </w:trPr>
        <w:tc>
          <w:tcPr>
            <w:tcW w:type="dxa" w:w="3888"/>
            <w:shd w:fill="FFFFFF"/>
            <w:tcMar>
              <w:top w:w="80" w:type="dxa"/>
              <w:bottom w:w="80" w:type="dxa"/>
              <w:left w:w="120" w:type="dxa"/>
              <w:right w:w="120" w:type="dxa"/>
            </w:tcMar>
          </w:tcPr>
          <w:p>
            <w:pPr>
              <w:spacing w:before="0" w:after="0"/>
              <w:jc w:val="left"/>
            </w:pPr>
            <w:r>
              <w:rPr>
                <w:rFonts w:ascii="Calibri" w:hAnsi="Calibri"/>
                <w:color w:val="2D3748"/>
                <w:sz w:val="19"/>
              </w:rPr>
              <w:t>Total Attempted Transactions</w:t>
            </w:r>
          </w:p>
        </w:tc>
        <w:tc>
          <w:tcPr>
            <w:tcW w:type="dxa" w:w="2160"/>
            <w:shd w:fill="FFFFFF"/>
            <w:tcMar>
              <w:top w:w="80" w:type="dxa"/>
              <w:bottom w:w="80" w:type="dxa"/>
              <w:left w:w="120" w:type="dxa"/>
              <w:right w:w="120" w:type="dxa"/>
            </w:tcMar>
          </w:tcPr>
          <w:p>
            <w:pPr>
              <w:spacing w:before="0" w:after="0"/>
              <w:jc w:val="right"/>
            </w:pPr>
            <w:r>
              <w:rPr>
                <w:rFonts w:ascii="Calibri" w:hAnsi="Calibri"/>
                <w:color w:val="2D3748"/>
                <w:sz w:val="19"/>
              </w:rPr>
              <w:t>50</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9"/>
              </w:rPr>
              <w:t>100.00% of Checkouts</w:t>
            </w:r>
          </w:p>
        </w:tc>
      </w:tr>
      <w:tr>
        <w:trPr>
          <w:cantSplit/>
        </w:trPr>
        <w:tc>
          <w:tcPr>
            <w:tcW w:type="dxa" w:w="3888"/>
            <w:shd w:fill="F7FAFC"/>
            <w:tcMar>
              <w:top w:w="80" w:type="dxa"/>
              <w:bottom w:w="80" w:type="dxa"/>
              <w:left w:w="120" w:type="dxa"/>
              <w:right w:w="120" w:type="dxa"/>
            </w:tcMar>
          </w:tcPr>
          <w:p>
            <w:pPr>
              <w:spacing w:before="0" w:after="0"/>
              <w:jc w:val="left"/>
            </w:pPr>
            <w:r>
              <w:rPr>
                <w:rFonts w:ascii="Calibri" w:hAnsi="Calibri"/>
                <w:color w:val="2D3748"/>
                <w:sz w:val="19"/>
              </w:rPr>
              <w:t>Successful Payments (Paid)</w:t>
            </w:r>
          </w:p>
        </w:tc>
        <w:tc>
          <w:tcPr>
            <w:tcW w:type="dxa" w:w="2160"/>
            <w:shd w:fill="F7FAFC"/>
            <w:tcMar>
              <w:top w:w="80" w:type="dxa"/>
              <w:bottom w:w="80" w:type="dxa"/>
              <w:left w:w="120" w:type="dxa"/>
              <w:right w:w="120" w:type="dxa"/>
            </w:tcMar>
          </w:tcPr>
          <w:p>
            <w:pPr>
              <w:spacing w:before="0" w:after="0"/>
              <w:jc w:val="right"/>
            </w:pPr>
            <w:r>
              <w:rPr>
                <w:rFonts w:ascii="Calibri" w:hAnsi="Calibri"/>
                <w:color w:val="2D3748"/>
                <w:sz w:val="19"/>
              </w:rPr>
              <w:t>43</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9"/>
              </w:rPr>
              <w:t>86.00% Success Rate</w:t>
            </w:r>
          </w:p>
        </w:tc>
      </w:tr>
      <w:tr>
        <w:trPr>
          <w:cantSplit/>
        </w:trPr>
        <w:tc>
          <w:tcPr>
            <w:tcW w:type="dxa" w:w="3888"/>
            <w:shd w:fill="FFFFFF"/>
            <w:tcMar>
              <w:top w:w="80" w:type="dxa"/>
              <w:bottom w:w="80" w:type="dxa"/>
              <w:left w:w="120" w:type="dxa"/>
              <w:right w:w="120" w:type="dxa"/>
            </w:tcMar>
          </w:tcPr>
          <w:p>
            <w:pPr>
              <w:spacing w:before="0" w:after="0"/>
              <w:jc w:val="left"/>
            </w:pPr>
            <w:r>
              <w:rPr>
                <w:rFonts w:ascii="Calibri" w:hAnsi="Calibri"/>
                <w:color w:val="2D3748"/>
                <w:sz w:val="19"/>
              </w:rPr>
              <w:t>Pending Transactions</w:t>
            </w:r>
          </w:p>
        </w:tc>
        <w:tc>
          <w:tcPr>
            <w:tcW w:type="dxa" w:w="2160"/>
            <w:shd w:fill="FFFFFF"/>
            <w:tcMar>
              <w:top w:w="80" w:type="dxa"/>
              <w:bottom w:w="80" w:type="dxa"/>
              <w:left w:w="120" w:type="dxa"/>
              <w:right w:w="120" w:type="dxa"/>
            </w:tcMar>
          </w:tcPr>
          <w:p>
            <w:pPr>
              <w:spacing w:before="0" w:after="0"/>
              <w:jc w:val="right"/>
            </w:pPr>
            <w:r>
              <w:rPr>
                <w:rFonts w:ascii="Calibri" w:hAnsi="Calibri"/>
                <w:color w:val="2D3748"/>
                <w:sz w:val="19"/>
              </w:rPr>
              <w:t>4</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9"/>
              </w:rPr>
              <w:t>8.00% Pending Rate</w:t>
            </w:r>
          </w:p>
        </w:tc>
      </w:tr>
      <w:tr>
        <w:trPr>
          <w:cantSplit/>
        </w:trPr>
        <w:tc>
          <w:tcPr>
            <w:tcW w:type="dxa" w:w="3888"/>
            <w:shd w:fill="F7FAFC"/>
            <w:tcMar>
              <w:top w:w="80" w:type="dxa"/>
              <w:bottom w:w="80" w:type="dxa"/>
              <w:left w:w="120" w:type="dxa"/>
              <w:right w:w="120" w:type="dxa"/>
            </w:tcMar>
          </w:tcPr>
          <w:p>
            <w:pPr>
              <w:spacing w:before="0" w:after="0"/>
              <w:jc w:val="left"/>
            </w:pPr>
            <w:r>
              <w:rPr>
                <w:rFonts w:ascii="Calibri" w:hAnsi="Calibri"/>
                <w:color w:val="2D3748"/>
                <w:sz w:val="19"/>
              </w:rPr>
              <w:t>Failed Transactions</w:t>
            </w:r>
          </w:p>
        </w:tc>
        <w:tc>
          <w:tcPr>
            <w:tcW w:type="dxa" w:w="2160"/>
            <w:shd w:fill="F7FAFC"/>
            <w:tcMar>
              <w:top w:w="80" w:type="dxa"/>
              <w:bottom w:w="80" w:type="dxa"/>
              <w:left w:w="120" w:type="dxa"/>
              <w:right w:w="120" w:type="dxa"/>
            </w:tcMar>
          </w:tcPr>
          <w:p>
            <w:pPr>
              <w:spacing w:before="0" w:after="0"/>
              <w:jc w:val="right"/>
            </w:pPr>
            <w:r>
              <w:rPr>
                <w:rFonts w:ascii="Calibri" w:hAnsi="Calibri"/>
                <w:color w:val="2D3748"/>
                <w:sz w:val="19"/>
              </w:rPr>
              <w:t>3</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9"/>
              </w:rPr>
              <w:t>6.00% Failure Rate</w:t>
            </w:r>
          </w:p>
        </w:tc>
      </w:tr>
      <w:tr>
        <w:trPr>
          <w:cantSplit/>
        </w:trPr>
        <w:tc>
          <w:tcPr>
            <w:tcW w:type="dxa" w:w="3888"/>
            <w:shd w:fill="FFFFFF"/>
            <w:tcMar>
              <w:top w:w="80" w:type="dxa"/>
              <w:bottom w:w="80" w:type="dxa"/>
              <w:left w:w="120" w:type="dxa"/>
              <w:right w:w="120" w:type="dxa"/>
            </w:tcMar>
          </w:tcPr>
          <w:p>
            <w:pPr>
              <w:spacing w:before="0" w:after="0"/>
              <w:jc w:val="left"/>
            </w:pPr>
            <w:r>
              <w:rPr>
                <w:rFonts w:ascii="Calibri" w:hAnsi="Calibri"/>
                <w:color w:val="2D3748"/>
                <w:sz w:val="19"/>
              </w:rPr>
              <w:t>Gross Order Volume (GMV)</w:t>
            </w:r>
          </w:p>
        </w:tc>
        <w:tc>
          <w:tcPr>
            <w:tcW w:type="dxa" w:w="2160"/>
            <w:shd w:fill="FFFFFF"/>
            <w:tcMar>
              <w:top w:w="80" w:type="dxa"/>
              <w:bottom w:w="80" w:type="dxa"/>
              <w:left w:w="120" w:type="dxa"/>
              <w:right w:w="120" w:type="dxa"/>
            </w:tcMar>
          </w:tcPr>
          <w:p>
            <w:pPr>
              <w:spacing w:before="0" w:after="0"/>
              <w:jc w:val="right"/>
            </w:pPr>
            <w:r>
              <w:rPr>
                <w:rFonts w:ascii="Calibri" w:hAnsi="Calibri"/>
                <w:color w:val="2D3748"/>
                <w:sz w:val="19"/>
              </w:rPr>
              <w:t>₹47,839.73</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9"/>
              </w:rPr>
              <w:t>Platform Total Gross Value</w:t>
            </w:r>
          </w:p>
        </w:tc>
      </w:tr>
      <w:tr>
        <w:trPr>
          <w:cantSplit/>
        </w:trPr>
        <w:tc>
          <w:tcPr>
            <w:tcW w:type="dxa" w:w="3888"/>
            <w:shd w:fill="F7FAFC"/>
            <w:tcMar>
              <w:top w:w="80" w:type="dxa"/>
              <w:bottom w:w="80" w:type="dxa"/>
              <w:left w:w="120" w:type="dxa"/>
              <w:right w:w="120" w:type="dxa"/>
            </w:tcMar>
          </w:tcPr>
          <w:p>
            <w:pPr>
              <w:spacing w:before="0" w:after="0"/>
              <w:jc w:val="left"/>
            </w:pPr>
            <w:r>
              <w:rPr>
                <w:rFonts w:ascii="Calibri" w:hAnsi="Calibri"/>
                <w:color w:val="2D3748"/>
                <w:sz w:val="19"/>
              </w:rPr>
              <w:t>Realized Net Settled Revenue</w:t>
            </w:r>
          </w:p>
        </w:tc>
        <w:tc>
          <w:tcPr>
            <w:tcW w:type="dxa" w:w="2160"/>
            <w:shd w:fill="F7FAFC"/>
            <w:tcMar>
              <w:top w:w="80" w:type="dxa"/>
              <w:bottom w:w="80" w:type="dxa"/>
              <w:left w:w="120" w:type="dxa"/>
              <w:right w:w="120" w:type="dxa"/>
            </w:tcMar>
          </w:tcPr>
          <w:p>
            <w:pPr>
              <w:spacing w:before="0" w:after="0"/>
              <w:jc w:val="right"/>
            </w:pPr>
            <w:r>
              <w:rPr>
                <w:rFonts w:ascii="Calibri" w:hAnsi="Calibri"/>
                <w:color w:val="2D3748"/>
                <w:sz w:val="19"/>
              </w:rPr>
              <w:t>₹39,805.75</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9"/>
              </w:rPr>
              <w:t>83.21% Realization Rate</w:t>
            </w:r>
          </w:p>
        </w:tc>
      </w:tr>
      <w:tr>
        <w:trPr>
          <w:cantSplit/>
        </w:trPr>
        <w:tc>
          <w:tcPr>
            <w:tcW w:type="dxa" w:w="3888"/>
            <w:shd w:fill="FFFFFF"/>
            <w:tcMar>
              <w:top w:w="80" w:type="dxa"/>
              <w:bottom w:w="80" w:type="dxa"/>
              <w:left w:w="120" w:type="dxa"/>
              <w:right w:w="120" w:type="dxa"/>
            </w:tcMar>
          </w:tcPr>
          <w:p>
            <w:pPr>
              <w:spacing w:before="0" w:after="0"/>
              <w:jc w:val="left"/>
            </w:pPr>
            <w:r>
              <w:rPr>
                <w:rFonts w:ascii="Calibri" w:hAnsi="Calibri"/>
                <w:color w:val="2D3748"/>
                <w:sz w:val="19"/>
              </w:rPr>
              <w:t>Direct Lost Revenue (Failed)</w:t>
            </w:r>
          </w:p>
        </w:tc>
        <w:tc>
          <w:tcPr>
            <w:tcW w:type="dxa" w:w="2160"/>
            <w:shd w:fill="FFFFFF"/>
            <w:tcMar>
              <w:top w:w="80" w:type="dxa"/>
              <w:bottom w:w="80" w:type="dxa"/>
              <w:left w:w="120" w:type="dxa"/>
              <w:right w:w="120" w:type="dxa"/>
            </w:tcMar>
          </w:tcPr>
          <w:p>
            <w:pPr>
              <w:spacing w:before="0" w:after="0"/>
              <w:jc w:val="right"/>
            </w:pPr>
            <w:r>
              <w:rPr>
                <w:rFonts w:ascii="Calibri" w:hAnsi="Calibri"/>
                <w:color w:val="2D3748"/>
                <w:sz w:val="19"/>
              </w:rPr>
              <w:t>₹2,860.27</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9"/>
              </w:rPr>
              <w:t>Direct Checkout Revenue Leakage</w:t>
            </w:r>
          </w:p>
        </w:tc>
      </w:tr>
      <w:tr>
        <w:trPr>
          <w:cantSplit/>
        </w:trPr>
        <w:tc>
          <w:tcPr>
            <w:tcW w:type="dxa" w:w="3888"/>
            <w:shd w:fill="F7FAFC"/>
            <w:tcMar>
              <w:top w:w="80" w:type="dxa"/>
              <w:bottom w:w="80" w:type="dxa"/>
              <w:left w:w="120" w:type="dxa"/>
              <w:right w:w="120" w:type="dxa"/>
            </w:tcMar>
          </w:tcPr>
          <w:p>
            <w:pPr>
              <w:spacing w:before="0" w:after="0"/>
              <w:jc w:val="left"/>
            </w:pPr>
            <w:r>
              <w:rPr>
                <w:rFonts w:ascii="Calibri" w:hAnsi="Calibri"/>
                <w:color w:val="2D3748"/>
                <w:sz w:val="19"/>
              </w:rPr>
              <w:t>At-Risk Revenue (Pending)</w:t>
            </w:r>
          </w:p>
        </w:tc>
        <w:tc>
          <w:tcPr>
            <w:tcW w:type="dxa" w:w="2160"/>
            <w:shd w:fill="F7FAFC"/>
            <w:tcMar>
              <w:top w:w="80" w:type="dxa"/>
              <w:bottom w:w="80" w:type="dxa"/>
              <w:left w:w="120" w:type="dxa"/>
              <w:right w:w="120" w:type="dxa"/>
            </w:tcMar>
          </w:tcPr>
          <w:p>
            <w:pPr>
              <w:spacing w:before="0" w:after="0"/>
              <w:jc w:val="right"/>
            </w:pPr>
            <w:r>
              <w:rPr>
                <w:rFonts w:ascii="Calibri" w:hAnsi="Calibri"/>
                <w:color w:val="2D3748"/>
                <w:sz w:val="19"/>
              </w:rPr>
              <w:t>₹3,578.71</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9"/>
              </w:rPr>
              <w:t>Delayed / Unsettled Pipeline GMV</w:t>
            </w:r>
          </w:p>
        </w:tc>
      </w:tr>
      <w:tr>
        <w:trPr>
          <w:cantSplit/>
        </w:trPr>
        <w:tc>
          <w:tcPr>
            <w:tcW w:type="dxa" w:w="3888"/>
            <w:shd w:fill="FFFFFF"/>
            <w:tcMar>
              <w:top w:w="80" w:type="dxa"/>
              <w:bottom w:w="80" w:type="dxa"/>
              <w:left w:w="120" w:type="dxa"/>
              <w:right w:w="120" w:type="dxa"/>
            </w:tcMar>
          </w:tcPr>
          <w:p>
            <w:pPr>
              <w:spacing w:before="0" w:after="0"/>
              <w:jc w:val="left"/>
            </w:pPr>
            <w:r>
              <w:rPr>
                <w:rFonts w:ascii="Calibri" w:hAnsi="Calibri"/>
                <w:color w:val="2D3748"/>
                <w:sz w:val="19"/>
              </w:rPr>
              <w:t>Average Order Ticket Size</w:t>
            </w:r>
          </w:p>
        </w:tc>
        <w:tc>
          <w:tcPr>
            <w:tcW w:type="dxa" w:w="2160"/>
            <w:shd w:fill="FFFFFF"/>
            <w:tcMar>
              <w:top w:w="80" w:type="dxa"/>
              <w:bottom w:w="80" w:type="dxa"/>
              <w:left w:w="120" w:type="dxa"/>
              <w:right w:w="120" w:type="dxa"/>
            </w:tcMar>
          </w:tcPr>
          <w:p>
            <w:pPr>
              <w:spacing w:before="0" w:after="0"/>
              <w:jc w:val="right"/>
            </w:pPr>
            <w:r>
              <w:rPr>
                <w:rFonts w:ascii="Calibri" w:hAnsi="Calibri"/>
                <w:color w:val="2D3748"/>
                <w:sz w:val="19"/>
              </w:rPr>
              <w:t>₹956.79</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9"/>
              </w:rPr>
              <w:t>Mean Value across all Orders</w:t>
            </w:r>
          </w:p>
        </w:tc>
      </w:tr>
      <w:tr>
        <w:trPr>
          <w:cantSplit/>
        </w:trPr>
        <w:tc>
          <w:tcPr>
            <w:tcW w:type="dxa" w:w="3888"/>
            <w:shd w:fill="F7FAFC"/>
            <w:tcMar>
              <w:top w:w="80" w:type="dxa"/>
              <w:bottom w:w="80" w:type="dxa"/>
              <w:left w:w="120" w:type="dxa"/>
              <w:right w:w="120" w:type="dxa"/>
            </w:tcMar>
          </w:tcPr>
          <w:p>
            <w:pPr>
              <w:spacing w:before="0" w:after="0"/>
              <w:jc w:val="left"/>
            </w:pPr>
            <w:r>
              <w:rPr>
                <w:rFonts w:ascii="Calibri" w:hAnsi="Calibri"/>
                <w:color w:val="2D3748"/>
                <w:sz w:val="19"/>
              </w:rPr>
              <w:t>Average Platform Discount</w:t>
            </w:r>
          </w:p>
        </w:tc>
        <w:tc>
          <w:tcPr>
            <w:tcW w:type="dxa" w:w="2160"/>
            <w:shd w:fill="F7FAFC"/>
            <w:tcMar>
              <w:top w:w="80" w:type="dxa"/>
              <w:bottom w:w="80" w:type="dxa"/>
              <w:left w:w="120" w:type="dxa"/>
              <w:right w:w="120" w:type="dxa"/>
            </w:tcMar>
          </w:tcPr>
          <w:p>
            <w:pPr>
              <w:spacing w:before="0" w:after="0"/>
              <w:jc w:val="right"/>
            </w:pPr>
            <w:r>
              <w:rPr>
                <w:rFonts w:ascii="Calibri" w:hAnsi="Calibri"/>
                <w:color w:val="2D3748"/>
                <w:sz w:val="19"/>
              </w:rPr>
              <w:t>₹31.50</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9"/>
              </w:rPr>
              <w:t>Promotional Subsidy per Order</w:t>
            </w:r>
          </w:p>
        </w:tc>
      </w:tr>
    </w:tbl>
    <w:p>
      <w:pPr>
        <w:spacing w:before="0" w:after="160"/>
      </w:pPr>
    </w:p>
    <w:tbl>
      <w:tblPr>
        <w:tblW w:type="auto" w:w="0"/>
        <w:jc w:val="center"/>
        <w:tblLook w:firstColumn="1" w:firstRow="1" w:lastColumn="0" w:lastRow="0" w:noHBand="0" w:noVBand="1" w:val="04A0"/>
      </w:tblPr>
      <w:tblGrid>
        <w:gridCol w:w="9360"/>
      </w:tblGrid>
      <w:tr>
        <w:tc>
          <w:tcPr>
            <w:tcW w:type="dxa" w:w="9360"/>
            <w:shd w:fill="EBF8FF"/>
            <w:tcMar>
              <w:top w:w="120" w:type="dxa"/>
              <w:bottom w:w="120" w:type="dxa"/>
              <w:left w:w="180" w:type="dxa"/>
              <w:right w:w="160" w:type="dxa"/>
            </w:tcMar>
            <w:tcBorders>
              <w:top w:val="none"/>
              <w:left w:val="single" w:sz="24" w:space="0" w:color="3182CE"/>
              <w:bottom w:val="none"/>
              <w:right w:val="none"/>
            </w:tcBorders>
          </w:tcPr>
          <w:p>
            <w:pPr>
              <w:spacing w:before="0" w:after="60" w:line="276" w:lineRule="auto"/>
            </w:pPr>
            <w:r>
              <w:rPr>
                <w:rFonts w:ascii="Calibri" w:hAnsi="Calibri"/>
                <w:b/>
                <w:color w:val="1A365D"/>
                <w:sz w:val="22"/>
              </w:rPr>
              <w:t>Executive KPI Takeaway</w:t>
            </w:r>
          </w:p>
          <w:p>
            <w:pPr>
              <w:spacing w:before="0" w:after="0" w:line="276" w:lineRule="auto"/>
            </w:pPr>
            <w:r>
              <w:rPr>
                <w:rFonts w:ascii="Calibri" w:hAnsi="Calibri"/>
                <w:color w:val="2D3748"/>
                <w:sz w:val="21"/>
              </w:rPr>
              <w:t>Although an 86.00% settlement success rate appears sound on aggregate, the 14.00% non-completion rate locks up ₹6,438.98 in compromised revenue. Resolving gateway retry loops and eliminating cash collection lag provides an immediate lever to lift realized monthly revenue without requiring additional marketing spend.</w:t>
            </w:r>
          </w:p>
        </w:tc>
      </w:tr>
    </w:tbl>
    <w:p>
      <w:pPr>
        <w:spacing w:before="0" w:after="120"/>
      </w:pPr>
    </w:p>
    <w:p>
      <w:pPr>
        <w:keepNext/>
        <w:spacing w:before="320" w:after="120"/>
      </w:pPr>
      <w:r>
        <w:rPr>
          <w:rFonts w:ascii="Calibri" w:hAnsi="Calibri"/>
          <w:b/>
          <w:color w:val="1A365D"/>
          <w:sz w:val="28"/>
        </w:rPr>
        <w:t>4. Payment Method Adoption &amp; Gateway Reliability</w:t>
      </w:r>
    </w:p>
    <w:p>
      <w:pPr>
        <w:spacing w:before="0" w:after="120" w:line="276" w:lineRule="auto"/>
      </w:pPr>
      <w:r>
        <w:rPr>
          <w:rFonts w:ascii="Calibri" w:hAnsi="Calibri"/>
          <w:color w:val="2D3748"/>
          <w:sz w:val="22"/>
        </w:rPr>
        <w:t>QuickBite supports four primary payment methods: Debit Card, Credit Card, UPI, and Cash on Delivery (Cash). Analysis highlights substantial variations in customer preference, average basket size, and transaction completion reliability across these channels:</w:t>
      </w:r>
    </w:p>
    <w:tbl>
      <w:tblPr>
        <w:tblW w:type="auto" w:w="0"/>
        <w:jc w:val="center"/>
        <w:tblLook w:firstColumn="1" w:firstRow="1" w:lastColumn="0" w:lastRow="0" w:noHBand="0" w:noVBand="1" w:val="04A0"/>
        <w:tblBorders>
          <w:top w:val="single" w:sz="4" w:space="0" w:color="D2D6DC"/>
          <w:bottom w:val="single" w:sz="4" w:space="0" w:color="D2D6DC"/>
          <w:left w:val="none"/>
          <w:right w:val="none"/>
          <w:insideH w:val="single" w:sz="4" w:space="0" w:color="D2D6DC"/>
          <w:insideV w:val="none"/>
        </w:tblBorders>
      </w:tblPr>
      <w:tblGrid>
        <w:gridCol w:w="936"/>
        <w:gridCol w:w="936"/>
        <w:gridCol w:w="936"/>
        <w:gridCol w:w="936"/>
        <w:gridCol w:w="936"/>
        <w:gridCol w:w="936"/>
        <w:gridCol w:w="936"/>
        <w:gridCol w:w="936"/>
        <w:gridCol w:w="936"/>
        <w:gridCol w:w="936"/>
      </w:tblGrid>
      <w:tr>
        <w:trPr>
          <w:tblHeader/>
        </w:trPr>
        <w:tc>
          <w:tcPr>
            <w:tcW w:type="dxa" w:w="1728"/>
            <w:shd w:fill="1A365D"/>
            <w:tcMar>
              <w:top w:w="120" w:type="dxa"/>
              <w:bottom w:w="120" w:type="dxa"/>
              <w:left w:w="120" w:type="dxa"/>
              <w:right w:w="120" w:type="dxa"/>
            </w:tcMar>
          </w:tcPr>
          <w:p>
            <w:pPr>
              <w:spacing w:before="0" w:after="0"/>
              <w:jc w:val="left"/>
            </w:pPr>
            <w:r>
              <w:rPr>
                <w:rFonts w:ascii="Calibri" w:hAnsi="Calibri"/>
                <w:b/>
                <w:color w:val="FFFFFF"/>
                <w:sz w:val="20"/>
              </w:rPr>
              <w:t>Payment Method</w:t>
            </w:r>
          </w:p>
        </w:tc>
        <w:tc>
          <w:tcPr>
            <w:tcW w:type="dxa" w:w="720"/>
            <w:shd w:fill="1A365D"/>
            <w:tcMar>
              <w:top w:w="120" w:type="dxa"/>
              <w:bottom w:w="120" w:type="dxa"/>
              <w:left w:w="120" w:type="dxa"/>
              <w:right w:w="120" w:type="dxa"/>
            </w:tcMar>
          </w:tcPr>
          <w:p>
            <w:pPr>
              <w:spacing w:before="0" w:after="0"/>
              <w:jc w:val="right"/>
            </w:pPr>
            <w:r>
              <w:rPr>
                <w:rFonts w:ascii="Calibri" w:hAnsi="Calibri"/>
                <w:b/>
                <w:color w:val="FFFFFF"/>
                <w:sz w:val="20"/>
              </w:rPr>
              <w:t>Orders</w:t>
            </w:r>
          </w:p>
        </w:tc>
        <w:tc>
          <w:tcPr>
            <w:tcW w:type="dxa" w:w="864"/>
            <w:shd w:fill="1A365D"/>
            <w:tcMar>
              <w:top w:w="120" w:type="dxa"/>
              <w:bottom w:w="120" w:type="dxa"/>
              <w:left w:w="120" w:type="dxa"/>
              <w:right w:w="120" w:type="dxa"/>
            </w:tcMar>
          </w:tcPr>
          <w:p>
            <w:pPr>
              <w:spacing w:before="0" w:after="0"/>
              <w:jc w:val="right"/>
            </w:pPr>
            <w:r>
              <w:rPr>
                <w:rFonts w:ascii="Calibri" w:hAnsi="Calibri"/>
                <w:b/>
                <w:color w:val="FFFFFF"/>
                <w:sz w:val="20"/>
              </w:rPr>
              <w:t>Share %</w:t>
            </w:r>
          </w:p>
        </w:tc>
        <w:tc>
          <w:tcPr>
            <w:tcW w:type="dxa" w:w="720"/>
            <w:shd w:fill="1A365D"/>
            <w:tcMar>
              <w:top w:w="120" w:type="dxa"/>
              <w:bottom w:w="120" w:type="dxa"/>
              <w:left w:w="120" w:type="dxa"/>
              <w:right w:w="120" w:type="dxa"/>
            </w:tcMar>
          </w:tcPr>
          <w:p>
            <w:pPr>
              <w:spacing w:before="0" w:after="0"/>
              <w:jc w:val="right"/>
            </w:pPr>
            <w:r>
              <w:rPr>
                <w:rFonts w:ascii="Calibri" w:hAnsi="Calibri"/>
                <w:b/>
                <w:color w:val="FFFFFF"/>
                <w:sz w:val="20"/>
              </w:rPr>
              <w:t>Paid</w:t>
            </w:r>
          </w:p>
        </w:tc>
        <w:tc>
          <w:tcPr>
            <w:tcW w:type="dxa" w:w="720"/>
            <w:shd w:fill="1A365D"/>
            <w:tcMar>
              <w:top w:w="120" w:type="dxa"/>
              <w:bottom w:w="120" w:type="dxa"/>
              <w:left w:w="120" w:type="dxa"/>
              <w:right w:w="120" w:type="dxa"/>
            </w:tcMar>
          </w:tcPr>
          <w:p>
            <w:pPr>
              <w:spacing w:before="0" w:after="0"/>
              <w:jc w:val="right"/>
            </w:pPr>
            <w:r>
              <w:rPr>
                <w:rFonts w:ascii="Calibri" w:hAnsi="Calibri"/>
                <w:b/>
                <w:color w:val="FFFFFF"/>
                <w:sz w:val="20"/>
              </w:rPr>
              <w:t>Pending</w:t>
            </w:r>
          </w:p>
        </w:tc>
        <w:tc>
          <w:tcPr>
            <w:tcW w:type="dxa" w:w="720"/>
            <w:shd w:fill="1A365D"/>
            <w:tcMar>
              <w:top w:w="120" w:type="dxa"/>
              <w:bottom w:w="120" w:type="dxa"/>
              <w:left w:w="120" w:type="dxa"/>
              <w:right w:w="120" w:type="dxa"/>
            </w:tcMar>
          </w:tcPr>
          <w:p>
            <w:pPr>
              <w:spacing w:before="0" w:after="0"/>
              <w:jc w:val="right"/>
            </w:pPr>
            <w:r>
              <w:rPr>
                <w:rFonts w:ascii="Calibri" w:hAnsi="Calibri"/>
                <w:b/>
                <w:color w:val="FFFFFF"/>
                <w:sz w:val="20"/>
              </w:rPr>
              <w:t>Failed</w:t>
            </w:r>
          </w:p>
        </w:tc>
        <w:tc>
          <w:tcPr>
            <w:tcW w:type="dxa" w:w="1008"/>
            <w:shd w:fill="1A365D"/>
            <w:tcMar>
              <w:top w:w="120" w:type="dxa"/>
              <w:bottom w:w="120" w:type="dxa"/>
              <w:left w:w="120" w:type="dxa"/>
              <w:right w:w="120" w:type="dxa"/>
            </w:tcMar>
          </w:tcPr>
          <w:p>
            <w:pPr>
              <w:spacing w:before="0" w:after="0"/>
              <w:jc w:val="right"/>
            </w:pPr>
            <w:r>
              <w:rPr>
                <w:rFonts w:ascii="Calibri" w:hAnsi="Calibri"/>
                <w:b/>
                <w:color w:val="FFFFFF"/>
                <w:sz w:val="20"/>
              </w:rPr>
              <w:t>Success %</w:t>
            </w:r>
          </w:p>
        </w:tc>
        <w:tc>
          <w:tcPr>
            <w:tcW w:type="dxa" w:w="1008"/>
            <w:shd w:fill="1A365D"/>
            <w:tcMar>
              <w:top w:w="120" w:type="dxa"/>
              <w:bottom w:w="120" w:type="dxa"/>
              <w:left w:w="120" w:type="dxa"/>
              <w:right w:w="120" w:type="dxa"/>
            </w:tcMar>
          </w:tcPr>
          <w:p>
            <w:pPr>
              <w:spacing w:before="0" w:after="0"/>
              <w:jc w:val="right"/>
            </w:pPr>
            <w:r>
              <w:rPr>
                <w:rFonts w:ascii="Calibri" w:hAnsi="Calibri"/>
                <w:b/>
                <w:color w:val="FFFFFF"/>
                <w:sz w:val="20"/>
              </w:rPr>
              <w:t>Failure %</w:t>
            </w:r>
          </w:p>
        </w:tc>
        <w:tc>
          <w:tcPr>
            <w:tcW w:type="dxa" w:w="1296"/>
            <w:shd w:fill="1A365D"/>
            <w:tcMar>
              <w:top w:w="120" w:type="dxa"/>
              <w:bottom w:w="120" w:type="dxa"/>
              <w:left w:w="120" w:type="dxa"/>
              <w:right w:w="120" w:type="dxa"/>
            </w:tcMar>
          </w:tcPr>
          <w:p>
            <w:pPr>
              <w:spacing w:before="0" w:after="0"/>
              <w:jc w:val="right"/>
            </w:pPr>
            <w:r>
              <w:rPr>
                <w:rFonts w:ascii="Calibri" w:hAnsi="Calibri"/>
                <w:b/>
                <w:color w:val="FFFFFF"/>
                <w:sz w:val="20"/>
              </w:rPr>
              <w:t>AOV (INR)</w:t>
            </w:r>
          </w:p>
        </w:tc>
        <w:tc>
          <w:tcPr>
            <w:tcW w:type="dxa" w:w="1440"/>
            <w:shd w:fill="1A365D"/>
            <w:tcMar>
              <w:top w:w="120" w:type="dxa"/>
              <w:bottom w:w="120" w:type="dxa"/>
              <w:left w:w="120" w:type="dxa"/>
              <w:right w:w="120" w:type="dxa"/>
            </w:tcMar>
          </w:tcPr>
          <w:p>
            <w:pPr>
              <w:spacing w:before="0" w:after="0"/>
              <w:jc w:val="right"/>
            </w:pPr>
            <w:r>
              <w:rPr>
                <w:rFonts w:ascii="Calibri" w:hAnsi="Calibri"/>
                <w:b/>
                <w:color w:val="FFFFFF"/>
                <w:sz w:val="20"/>
              </w:rPr>
              <w:t>Settled Net Rev</w:t>
            </w:r>
          </w:p>
        </w:tc>
      </w:tr>
      <w:tr>
        <w:trPr>
          <w:cantSplit/>
        </w:trPr>
        <w:tc>
          <w:tcPr>
            <w:tcW w:type="dxa" w:w="1728"/>
            <w:shd w:fill="FFFFFF"/>
            <w:tcMar>
              <w:top w:w="80" w:type="dxa"/>
              <w:bottom w:w="80" w:type="dxa"/>
              <w:left w:w="120" w:type="dxa"/>
              <w:right w:w="120" w:type="dxa"/>
            </w:tcMar>
          </w:tcPr>
          <w:p>
            <w:pPr>
              <w:spacing w:before="0" w:after="0"/>
              <w:jc w:val="left"/>
            </w:pPr>
            <w:r>
              <w:rPr>
                <w:rFonts w:ascii="Calibri" w:hAnsi="Calibri"/>
                <w:color w:val="2D3748"/>
                <w:sz w:val="19"/>
              </w:rPr>
              <w:t>Debit Card</w:t>
            </w:r>
          </w:p>
        </w:tc>
        <w:tc>
          <w:tcPr>
            <w:tcW w:type="dxa" w:w="720"/>
            <w:shd w:fill="FFFFFF"/>
            <w:tcMar>
              <w:top w:w="80" w:type="dxa"/>
              <w:bottom w:w="80" w:type="dxa"/>
              <w:left w:w="120" w:type="dxa"/>
              <w:right w:w="120" w:type="dxa"/>
            </w:tcMar>
          </w:tcPr>
          <w:p>
            <w:pPr>
              <w:spacing w:before="0" w:after="0"/>
              <w:jc w:val="right"/>
            </w:pPr>
            <w:r>
              <w:rPr>
                <w:rFonts w:ascii="Calibri" w:hAnsi="Calibri"/>
                <w:color w:val="2D3748"/>
                <w:sz w:val="19"/>
              </w:rPr>
              <w:t>15</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30.00%</w:t>
            </w:r>
          </w:p>
        </w:tc>
        <w:tc>
          <w:tcPr>
            <w:tcW w:type="dxa" w:w="720"/>
            <w:shd w:fill="FFFFFF"/>
            <w:tcMar>
              <w:top w:w="80" w:type="dxa"/>
              <w:bottom w:w="80" w:type="dxa"/>
              <w:left w:w="120" w:type="dxa"/>
              <w:right w:w="120" w:type="dxa"/>
            </w:tcMar>
          </w:tcPr>
          <w:p>
            <w:pPr>
              <w:spacing w:before="0" w:after="0"/>
              <w:jc w:val="right"/>
            </w:pPr>
            <w:r>
              <w:rPr>
                <w:rFonts w:ascii="Calibri" w:hAnsi="Calibri"/>
                <w:color w:val="2D3748"/>
                <w:sz w:val="19"/>
              </w:rPr>
              <w:t>12</w:t>
            </w:r>
          </w:p>
        </w:tc>
        <w:tc>
          <w:tcPr>
            <w:tcW w:type="dxa" w:w="720"/>
            <w:shd w:fill="FFFFFF"/>
            <w:tcMar>
              <w:top w:w="80" w:type="dxa"/>
              <w:bottom w:w="80" w:type="dxa"/>
              <w:left w:w="120" w:type="dxa"/>
              <w:right w:w="120" w:type="dxa"/>
            </w:tcMar>
          </w:tcPr>
          <w:p>
            <w:pPr>
              <w:spacing w:before="0" w:after="0"/>
              <w:jc w:val="right"/>
            </w:pPr>
            <w:r>
              <w:rPr>
                <w:rFonts w:ascii="Calibri" w:hAnsi="Calibri"/>
                <w:color w:val="2D3748"/>
                <w:sz w:val="19"/>
              </w:rPr>
              <w:t>2</w:t>
            </w:r>
          </w:p>
        </w:tc>
        <w:tc>
          <w:tcPr>
            <w:tcW w:type="dxa" w:w="720"/>
            <w:shd w:fill="FFFFFF"/>
            <w:tcMar>
              <w:top w:w="80" w:type="dxa"/>
              <w:bottom w:w="80" w:type="dxa"/>
              <w:left w:w="120" w:type="dxa"/>
              <w:right w:w="120" w:type="dxa"/>
            </w:tcMar>
          </w:tcPr>
          <w:p>
            <w:pPr>
              <w:spacing w:before="0" w:after="0"/>
              <w:jc w:val="right"/>
            </w:pPr>
            <w:r>
              <w:rPr>
                <w:rFonts w:ascii="Calibri" w:hAnsi="Calibri"/>
                <w:color w:val="2D3748"/>
                <w:sz w:val="19"/>
              </w:rPr>
              <w:t>1</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9"/>
              </w:rPr>
              <w:t>80.00%</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9"/>
              </w:rPr>
              <w:t>6.67%</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9"/>
              </w:rPr>
              <w:t>₹1,069.78</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9"/>
              </w:rPr>
              <w:t>₹11,849.13</w:t>
            </w:r>
          </w:p>
        </w:tc>
      </w:tr>
      <w:tr>
        <w:trPr>
          <w:cantSplit/>
        </w:trPr>
        <w:tc>
          <w:tcPr>
            <w:tcW w:type="dxa" w:w="1728"/>
            <w:shd w:fill="F7FAFC"/>
            <w:tcMar>
              <w:top w:w="80" w:type="dxa"/>
              <w:bottom w:w="80" w:type="dxa"/>
              <w:left w:w="120" w:type="dxa"/>
              <w:right w:w="120" w:type="dxa"/>
            </w:tcMar>
          </w:tcPr>
          <w:p>
            <w:pPr>
              <w:spacing w:before="0" w:after="0"/>
              <w:jc w:val="left"/>
            </w:pPr>
            <w:r>
              <w:rPr>
                <w:rFonts w:ascii="Calibri" w:hAnsi="Calibri"/>
                <w:color w:val="2D3748"/>
                <w:sz w:val="19"/>
              </w:rPr>
              <w:t>Credit Card</w:t>
            </w:r>
          </w:p>
        </w:tc>
        <w:tc>
          <w:tcPr>
            <w:tcW w:type="dxa" w:w="720"/>
            <w:shd w:fill="F7FAFC"/>
            <w:tcMar>
              <w:top w:w="80" w:type="dxa"/>
              <w:bottom w:w="80" w:type="dxa"/>
              <w:left w:w="120" w:type="dxa"/>
              <w:right w:w="120" w:type="dxa"/>
            </w:tcMar>
          </w:tcPr>
          <w:p>
            <w:pPr>
              <w:spacing w:before="0" w:after="0"/>
              <w:jc w:val="right"/>
            </w:pPr>
            <w:r>
              <w:rPr>
                <w:rFonts w:ascii="Calibri" w:hAnsi="Calibri"/>
                <w:color w:val="2D3748"/>
                <w:sz w:val="19"/>
              </w:rPr>
              <w:t>12</w:t>
            </w:r>
          </w:p>
        </w:tc>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24.00%</w:t>
            </w:r>
          </w:p>
        </w:tc>
        <w:tc>
          <w:tcPr>
            <w:tcW w:type="dxa" w:w="720"/>
            <w:shd w:fill="F7FAFC"/>
            <w:tcMar>
              <w:top w:w="80" w:type="dxa"/>
              <w:bottom w:w="80" w:type="dxa"/>
              <w:left w:w="120" w:type="dxa"/>
              <w:right w:w="120" w:type="dxa"/>
            </w:tcMar>
          </w:tcPr>
          <w:p>
            <w:pPr>
              <w:spacing w:before="0" w:after="0"/>
              <w:jc w:val="right"/>
            </w:pPr>
            <w:r>
              <w:rPr>
                <w:rFonts w:ascii="Calibri" w:hAnsi="Calibri"/>
                <w:color w:val="2D3748"/>
                <w:sz w:val="19"/>
              </w:rPr>
              <w:t>12</w:t>
            </w:r>
          </w:p>
        </w:tc>
        <w:tc>
          <w:tcPr>
            <w:tcW w:type="dxa" w:w="720"/>
            <w:shd w:fill="F7FAFC"/>
            <w:tcMar>
              <w:top w:w="80" w:type="dxa"/>
              <w:bottom w:w="80" w:type="dxa"/>
              <w:left w:w="120" w:type="dxa"/>
              <w:right w:w="120" w:type="dxa"/>
            </w:tcMar>
          </w:tcPr>
          <w:p>
            <w:pPr>
              <w:spacing w:before="0" w:after="0"/>
              <w:jc w:val="right"/>
            </w:pPr>
            <w:r>
              <w:rPr>
                <w:rFonts w:ascii="Calibri" w:hAnsi="Calibri"/>
                <w:color w:val="2D3748"/>
                <w:sz w:val="19"/>
              </w:rPr>
              <w:t>0</w:t>
            </w:r>
          </w:p>
        </w:tc>
        <w:tc>
          <w:tcPr>
            <w:tcW w:type="dxa" w:w="720"/>
            <w:shd w:fill="F7FAFC"/>
            <w:tcMar>
              <w:top w:w="80" w:type="dxa"/>
              <w:bottom w:w="80" w:type="dxa"/>
              <w:left w:w="120" w:type="dxa"/>
              <w:right w:w="120" w:type="dxa"/>
            </w:tcMar>
          </w:tcPr>
          <w:p>
            <w:pPr>
              <w:spacing w:before="0" w:after="0"/>
              <w:jc w:val="right"/>
            </w:pPr>
            <w:r>
              <w:rPr>
                <w:rFonts w:ascii="Calibri" w:hAnsi="Calibri"/>
                <w:color w:val="2D3748"/>
                <w:sz w:val="19"/>
              </w:rPr>
              <w:t>0</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9"/>
              </w:rPr>
              <w:t>100.00%</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9"/>
              </w:rPr>
              <w:t>0.00%</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9"/>
              </w:rPr>
              <w:t>₹788.90</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9"/>
              </w:rPr>
              <w:t>₹9,151.76</w:t>
            </w:r>
          </w:p>
        </w:tc>
      </w:tr>
      <w:tr>
        <w:trPr>
          <w:cantSplit/>
        </w:trPr>
        <w:tc>
          <w:tcPr>
            <w:tcW w:type="dxa" w:w="1728"/>
            <w:shd w:fill="FFFFFF"/>
            <w:tcMar>
              <w:top w:w="80" w:type="dxa"/>
              <w:bottom w:w="80" w:type="dxa"/>
              <w:left w:w="120" w:type="dxa"/>
              <w:right w:w="120" w:type="dxa"/>
            </w:tcMar>
          </w:tcPr>
          <w:p>
            <w:pPr>
              <w:spacing w:before="0" w:after="0"/>
              <w:jc w:val="left"/>
            </w:pPr>
            <w:r>
              <w:rPr>
                <w:rFonts w:ascii="Calibri" w:hAnsi="Calibri"/>
                <w:color w:val="2D3748"/>
                <w:sz w:val="19"/>
              </w:rPr>
              <w:t>UPI</w:t>
            </w:r>
          </w:p>
        </w:tc>
        <w:tc>
          <w:tcPr>
            <w:tcW w:type="dxa" w:w="720"/>
            <w:shd w:fill="FFFFFF"/>
            <w:tcMar>
              <w:top w:w="80" w:type="dxa"/>
              <w:bottom w:w="80" w:type="dxa"/>
              <w:left w:w="120" w:type="dxa"/>
              <w:right w:w="120" w:type="dxa"/>
            </w:tcMar>
          </w:tcPr>
          <w:p>
            <w:pPr>
              <w:spacing w:before="0" w:after="0"/>
              <w:jc w:val="right"/>
            </w:pPr>
            <w:r>
              <w:rPr>
                <w:rFonts w:ascii="Calibri" w:hAnsi="Calibri"/>
                <w:color w:val="2D3748"/>
                <w:sz w:val="19"/>
              </w:rPr>
              <w:t>12</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24.00%</w:t>
            </w:r>
          </w:p>
        </w:tc>
        <w:tc>
          <w:tcPr>
            <w:tcW w:type="dxa" w:w="720"/>
            <w:shd w:fill="FFFFFF"/>
            <w:tcMar>
              <w:top w:w="80" w:type="dxa"/>
              <w:bottom w:w="80" w:type="dxa"/>
              <w:left w:w="120" w:type="dxa"/>
              <w:right w:w="120" w:type="dxa"/>
            </w:tcMar>
          </w:tcPr>
          <w:p>
            <w:pPr>
              <w:spacing w:before="0" w:after="0"/>
              <w:jc w:val="right"/>
            </w:pPr>
            <w:r>
              <w:rPr>
                <w:rFonts w:ascii="Calibri" w:hAnsi="Calibri"/>
                <w:color w:val="2D3748"/>
                <w:sz w:val="19"/>
              </w:rPr>
              <w:t>11</w:t>
            </w:r>
          </w:p>
        </w:tc>
        <w:tc>
          <w:tcPr>
            <w:tcW w:type="dxa" w:w="720"/>
            <w:shd w:fill="FFFFFF"/>
            <w:tcMar>
              <w:top w:w="80" w:type="dxa"/>
              <w:bottom w:w="80" w:type="dxa"/>
              <w:left w:w="120" w:type="dxa"/>
              <w:right w:w="120" w:type="dxa"/>
            </w:tcMar>
          </w:tcPr>
          <w:p>
            <w:pPr>
              <w:spacing w:before="0" w:after="0"/>
              <w:jc w:val="right"/>
            </w:pPr>
            <w:r>
              <w:rPr>
                <w:rFonts w:ascii="Calibri" w:hAnsi="Calibri"/>
                <w:color w:val="2D3748"/>
                <w:sz w:val="19"/>
              </w:rPr>
              <w:t>0</w:t>
            </w:r>
          </w:p>
        </w:tc>
        <w:tc>
          <w:tcPr>
            <w:tcW w:type="dxa" w:w="720"/>
            <w:shd w:fill="FFFFFF"/>
            <w:tcMar>
              <w:top w:w="80" w:type="dxa"/>
              <w:bottom w:w="80" w:type="dxa"/>
              <w:left w:w="120" w:type="dxa"/>
              <w:right w:w="120" w:type="dxa"/>
            </w:tcMar>
          </w:tcPr>
          <w:p>
            <w:pPr>
              <w:spacing w:before="0" w:after="0"/>
              <w:jc w:val="right"/>
            </w:pPr>
            <w:r>
              <w:rPr>
                <w:rFonts w:ascii="Calibri" w:hAnsi="Calibri"/>
                <w:color w:val="2D3748"/>
                <w:sz w:val="19"/>
              </w:rPr>
              <w:t>1</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9"/>
              </w:rPr>
              <w:t>91.67%</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9"/>
              </w:rPr>
              <w:t>8.33%</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9"/>
              </w:rPr>
              <w:t>₹859.09</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9"/>
              </w:rPr>
              <w:t>₹9,656.19</w:t>
            </w:r>
          </w:p>
        </w:tc>
      </w:tr>
      <w:tr>
        <w:trPr>
          <w:cantSplit/>
        </w:trPr>
        <w:tc>
          <w:tcPr>
            <w:tcW w:type="dxa" w:w="1728"/>
            <w:shd w:fill="F7FAFC"/>
            <w:tcMar>
              <w:top w:w="80" w:type="dxa"/>
              <w:bottom w:w="80" w:type="dxa"/>
              <w:left w:w="120" w:type="dxa"/>
              <w:right w:w="120" w:type="dxa"/>
            </w:tcMar>
          </w:tcPr>
          <w:p>
            <w:pPr>
              <w:spacing w:before="0" w:after="0"/>
              <w:jc w:val="left"/>
            </w:pPr>
            <w:r>
              <w:rPr>
                <w:rFonts w:ascii="Calibri" w:hAnsi="Calibri"/>
                <w:color w:val="2D3748"/>
                <w:sz w:val="19"/>
              </w:rPr>
              <w:t>Cash (COD)</w:t>
            </w:r>
          </w:p>
        </w:tc>
        <w:tc>
          <w:tcPr>
            <w:tcW w:type="dxa" w:w="720"/>
            <w:shd w:fill="F7FAFC"/>
            <w:tcMar>
              <w:top w:w="80" w:type="dxa"/>
              <w:bottom w:w="80" w:type="dxa"/>
              <w:left w:w="120" w:type="dxa"/>
              <w:right w:w="120" w:type="dxa"/>
            </w:tcMar>
          </w:tcPr>
          <w:p>
            <w:pPr>
              <w:spacing w:before="0" w:after="0"/>
              <w:jc w:val="right"/>
            </w:pPr>
            <w:r>
              <w:rPr>
                <w:rFonts w:ascii="Calibri" w:hAnsi="Calibri"/>
                <w:color w:val="2D3748"/>
                <w:sz w:val="19"/>
              </w:rPr>
              <w:t>11</w:t>
            </w:r>
          </w:p>
        </w:tc>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22.00%</w:t>
            </w:r>
          </w:p>
        </w:tc>
        <w:tc>
          <w:tcPr>
            <w:tcW w:type="dxa" w:w="720"/>
            <w:shd w:fill="F7FAFC"/>
            <w:tcMar>
              <w:top w:w="80" w:type="dxa"/>
              <w:bottom w:w="80" w:type="dxa"/>
              <w:left w:w="120" w:type="dxa"/>
              <w:right w:w="120" w:type="dxa"/>
            </w:tcMar>
          </w:tcPr>
          <w:p>
            <w:pPr>
              <w:spacing w:before="0" w:after="0"/>
              <w:jc w:val="right"/>
            </w:pPr>
            <w:r>
              <w:rPr>
                <w:rFonts w:ascii="Calibri" w:hAnsi="Calibri"/>
                <w:color w:val="2D3748"/>
                <w:sz w:val="19"/>
              </w:rPr>
              <w:t>8</w:t>
            </w:r>
          </w:p>
        </w:tc>
        <w:tc>
          <w:tcPr>
            <w:tcW w:type="dxa" w:w="720"/>
            <w:shd w:fill="F7FAFC"/>
            <w:tcMar>
              <w:top w:w="80" w:type="dxa"/>
              <w:bottom w:w="80" w:type="dxa"/>
              <w:left w:w="120" w:type="dxa"/>
              <w:right w:w="120" w:type="dxa"/>
            </w:tcMar>
          </w:tcPr>
          <w:p>
            <w:pPr>
              <w:spacing w:before="0" w:after="0"/>
              <w:jc w:val="right"/>
            </w:pPr>
            <w:r>
              <w:rPr>
                <w:rFonts w:ascii="Calibri" w:hAnsi="Calibri"/>
                <w:color w:val="2D3748"/>
                <w:sz w:val="19"/>
              </w:rPr>
              <w:t>2</w:t>
            </w:r>
          </w:p>
        </w:tc>
        <w:tc>
          <w:tcPr>
            <w:tcW w:type="dxa" w:w="720"/>
            <w:shd w:fill="F7FAFC"/>
            <w:tcMar>
              <w:top w:w="80" w:type="dxa"/>
              <w:bottom w:w="80" w:type="dxa"/>
              <w:left w:w="120" w:type="dxa"/>
              <w:right w:w="120" w:type="dxa"/>
            </w:tcMar>
          </w:tcPr>
          <w:p>
            <w:pPr>
              <w:spacing w:before="0" w:after="0"/>
              <w:jc w:val="right"/>
            </w:pPr>
            <w:r>
              <w:rPr>
                <w:rFonts w:ascii="Calibri" w:hAnsi="Calibri"/>
                <w:color w:val="2D3748"/>
                <w:sz w:val="19"/>
              </w:rPr>
              <w:t>1</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9"/>
              </w:rPr>
              <w:t>72.73%</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9"/>
              </w:rPr>
              <w:t>9.09%</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9"/>
              </w:rPr>
              <w:t>₹1,092.48</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9"/>
              </w:rPr>
              <w:t>₹9,148.67</w:t>
            </w:r>
          </w:p>
        </w:tc>
      </w:tr>
    </w:tbl>
    <w:p>
      <w:pPr>
        <w:spacing w:before="0" w:after="160"/>
      </w:pPr>
    </w:p>
    <w:p>
      <w:pPr>
        <w:pStyle w:val="ListBullet"/>
        <w:spacing w:before="40" w:after="80" w:line="276" w:lineRule="auto"/>
      </w:pPr>
      <w:r>
        <w:rPr>
          <w:rFonts w:ascii="Calibri" w:hAnsi="Calibri"/>
          <w:b/>
          <w:color w:val="1A365D"/>
          <w:sz w:val="22"/>
        </w:rPr>
        <w:t xml:space="preserve">Debit Card (Market Leader with Gateway Friction): </w:t>
      </w:r>
      <w:r>
        <w:rPr>
          <w:rFonts w:ascii="Calibri" w:hAnsi="Calibri"/>
          <w:color w:val="2D3748"/>
          <w:sz w:val="22"/>
        </w:rPr>
        <w:t>Debit Card is the most adopted payment method on the platform, representing 30.00% of all orders (15 transactions) and ₹11,849.13 in settled net revenue. However, it exhibits an 80.00% success rate, suffering from a 13.33% pending rate (2 orders) and a 6.67% failure rate (1 order), reflecting 3D-Secure OTP latency and bank server timeouts.</w:t>
      </w:r>
    </w:p>
    <w:p>
      <w:pPr>
        <w:pStyle w:val="ListBullet"/>
        <w:spacing w:before="40" w:after="80" w:line="276" w:lineRule="auto"/>
      </w:pPr>
      <w:r>
        <w:rPr>
          <w:rFonts w:ascii="Calibri" w:hAnsi="Calibri"/>
          <w:b/>
          <w:color w:val="1A365D"/>
          <w:sz w:val="22"/>
        </w:rPr>
        <w:t xml:space="preserve">Credit Card (Gold Standard Reliability): </w:t>
      </w:r>
      <w:r>
        <w:rPr>
          <w:rFonts w:ascii="Calibri" w:hAnsi="Calibri"/>
          <w:color w:val="2D3748"/>
          <w:sz w:val="22"/>
        </w:rPr>
        <w:t>Credit Card checkouts achieved a perfect 100.00% success rate across 12 orders (24.00% share), recording zero failed and zero pending transactions. While its Average Order Value (₹788.90) is lower than Debit Cards, its flawless settlement makes it the most dependable channel on QuickBite.</w:t>
      </w:r>
    </w:p>
    <w:p>
      <w:pPr>
        <w:pStyle w:val="ListBullet"/>
        <w:spacing w:before="40" w:after="80" w:line="276" w:lineRule="auto"/>
      </w:pPr>
      <w:r>
        <w:rPr>
          <w:rFonts w:ascii="Calibri" w:hAnsi="Calibri"/>
          <w:b/>
          <w:color w:val="1A365D"/>
          <w:sz w:val="22"/>
        </w:rPr>
        <w:t xml:space="preserve">UPI (High Conversion, Smartphone Preferred): </w:t>
      </w:r>
      <w:r>
        <w:rPr>
          <w:rFonts w:ascii="Calibri" w:hAnsi="Calibri"/>
          <w:color w:val="2D3748"/>
          <w:sz w:val="22"/>
        </w:rPr>
        <w:t>UPI captures 24.00% of orders with an impressive 91.67% success rate and an AOV of ₹859.09. However, 1 checkout failed on an order worth ₹452.86 (Order #42), caused by UPI intent app timeout during payment switching.</w:t>
      </w:r>
    </w:p>
    <w:p>
      <w:pPr>
        <w:pStyle w:val="ListBullet"/>
        <w:spacing w:before="40" w:after="80" w:line="276" w:lineRule="auto"/>
      </w:pPr>
      <w:r>
        <w:rPr>
          <w:rFonts w:ascii="Calibri" w:hAnsi="Calibri"/>
          <w:b/>
          <w:color w:val="1A365D"/>
          <w:sz w:val="22"/>
        </w:rPr>
        <w:t xml:space="preserve">Cash on Delivery (Highest Operational Friction): </w:t>
      </w:r>
      <w:r>
        <w:rPr>
          <w:rFonts w:ascii="Calibri" w:hAnsi="Calibri"/>
          <w:color w:val="2D3748"/>
          <w:sz w:val="22"/>
        </w:rPr>
        <w:t>Cash accounts for 22.00% of orders and commands the highest basket sizes (₹1,092.48 AOV). However, it records the lowest success rate on the platform at 72.73%, with an 18.18% pending rate (2 orders) and a 9.09% cancellation rate (Order #29, ₹967.07), reflecting rider collection delays and customer cash unavailability.</w:t>
      </w:r>
    </w:p>
    <w:p>
      <w:pPr>
        <w:keepNext/>
        <w:spacing w:before="320" w:after="120"/>
      </w:pPr>
      <w:r>
        <w:rPr>
          <w:rFonts w:ascii="Calibri" w:hAnsi="Calibri"/>
          <w:b/>
          <w:color w:val="1A365D"/>
          <w:sz w:val="28"/>
        </w:rPr>
        <w:t>5. Order Basket Size vs. Transaction Failure Analysis</w:t>
      </w:r>
    </w:p>
    <w:p>
      <w:pPr>
        <w:spacing w:before="0" w:after="120" w:line="276" w:lineRule="auto"/>
      </w:pPr>
      <w:r>
        <w:rPr>
          <w:rFonts w:ascii="Calibri" w:hAnsi="Calibri"/>
          <w:color w:val="2D3748"/>
          <w:sz w:val="22"/>
        </w:rPr>
        <w:t>To assess whether checkout abandonment correlates with order value, all 50 orders were segmented into four standard transaction tiers. The distribution reveals critical behavioral patterns across order value thresholds:</w:t>
      </w:r>
    </w:p>
    <w:tbl>
      <w:tblPr>
        <w:tblW w:type="auto" w:w="0"/>
        <w:jc w:val="center"/>
        <w:tblLook w:firstColumn="1" w:firstRow="1" w:lastColumn="0" w:lastRow="0" w:noHBand="0" w:noVBand="1" w:val="04A0"/>
        <w:tblBorders>
          <w:top w:val="single" w:sz="4" w:space="0" w:color="D2D6DC"/>
          <w:bottom w:val="single" w:sz="4" w:space="0" w:color="D2D6DC"/>
          <w:left w:val="none"/>
          <w:right w:val="none"/>
          <w:insideH w:val="single" w:sz="4" w:space="0" w:color="D2D6DC"/>
          <w:insideV w:val="none"/>
        </w:tblBorders>
      </w:tblPr>
      <w:tblGrid>
        <w:gridCol w:w="1040"/>
        <w:gridCol w:w="1040"/>
        <w:gridCol w:w="1040"/>
        <w:gridCol w:w="1040"/>
        <w:gridCol w:w="1040"/>
        <w:gridCol w:w="1040"/>
        <w:gridCol w:w="1040"/>
        <w:gridCol w:w="1040"/>
        <w:gridCol w:w="1040"/>
      </w:tblGrid>
      <w:tr>
        <w:trPr>
          <w:tblHeader/>
        </w:trPr>
        <w:tc>
          <w:tcPr>
            <w:tcW w:type="dxa" w:w="1728"/>
            <w:shd w:fill="1A365D"/>
            <w:tcMar>
              <w:top w:w="120" w:type="dxa"/>
              <w:bottom w:w="120" w:type="dxa"/>
              <w:left w:w="120" w:type="dxa"/>
              <w:right w:w="120" w:type="dxa"/>
            </w:tcMar>
          </w:tcPr>
          <w:p>
            <w:pPr>
              <w:spacing w:before="0" w:after="0"/>
              <w:jc w:val="left"/>
            </w:pPr>
            <w:r>
              <w:rPr>
                <w:rFonts w:ascii="Calibri" w:hAnsi="Calibri"/>
                <w:b/>
                <w:color w:val="FFFFFF"/>
                <w:sz w:val="20"/>
              </w:rPr>
              <w:t>Order Size Tier</w:t>
            </w:r>
          </w:p>
        </w:tc>
        <w:tc>
          <w:tcPr>
            <w:tcW w:type="dxa" w:w="1584"/>
            <w:shd w:fill="1A365D"/>
            <w:tcMar>
              <w:top w:w="120" w:type="dxa"/>
              <w:bottom w:w="120" w:type="dxa"/>
              <w:left w:w="120" w:type="dxa"/>
              <w:right w:w="120" w:type="dxa"/>
            </w:tcMar>
          </w:tcPr>
          <w:p>
            <w:pPr>
              <w:spacing w:before="0" w:after="0"/>
              <w:jc w:val="left"/>
            </w:pPr>
            <w:r>
              <w:rPr>
                <w:rFonts w:ascii="Calibri" w:hAnsi="Calibri"/>
                <w:b/>
                <w:color w:val="FFFFFF"/>
                <w:sz w:val="20"/>
              </w:rPr>
              <w:t>Range (INR)</w:t>
            </w:r>
          </w:p>
        </w:tc>
        <w:tc>
          <w:tcPr>
            <w:tcW w:type="dxa" w:w="864"/>
            <w:shd w:fill="1A365D"/>
            <w:tcMar>
              <w:top w:w="120" w:type="dxa"/>
              <w:bottom w:w="120" w:type="dxa"/>
              <w:left w:w="120" w:type="dxa"/>
              <w:right w:w="120" w:type="dxa"/>
            </w:tcMar>
          </w:tcPr>
          <w:p>
            <w:pPr>
              <w:spacing w:before="0" w:after="0"/>
              <w:jc w:val="right"/>
            </w:pPr>
            <w:r>
              <w:rPr>
                <w:rFonts w:ascii="Calibri" w:hAnsi="Calibri"/>
                <w:b/>
                <w:color w:val="FFFFFF"/>
                <w:sz w:val="20"/>
              </w:rPr>
              <w:t>Orders</w:t>
            </w:r>
          </w:p>
        </w:tc>
        <w:tc>
          <w:tcPr>
            <w:tcW w:type="dxa" w:w="720"/>
            <w:shd w:fill="1A365D"/>
            <w:tcMar>
              <w:top w:w="120" w:type="dxa"/>
              <w:bottom w:w="120" w:type="dxa"/>
              <w:left w:w="120" w:type="dxa"/>
              <w:right w:w="120" w:type="dxa"/>
            </w:tcMar>
          </w:tcPr>
          <w:p>
            <w:pPr>
              <w:spacing w:before="0" w:after="0"/>
              <w:jc w:val="right"/>
            </w:pPr>
            <w:r>
              <w:rPr>
                <w:rFonts w:ascii="Calibri" w:hAnsi="Calibri"/>
                <w:b/>
                <w:color w:val="FFFFFF"/>
                <w:sz w:val="20"/>
              </w:rPr>
              <w:t>Paid</w:t>
            </w:r>
          </w:p>
        </w:tc>
        <w:tc>
          <w:tcPr>
            <w:tcW w:type="dxa" w:w="864"/>
            <w:shd w:fill="1A365D"/>
            <w:tcMar>
              <w:top w:w="120" w:type="dxa"/>
              <w:bottom w:w="120" w:type="dxa"/>
              <w:left w:w="120" w:type="dxa"/>
              <w:right w:w="120" w:type="dxa"/>
            </w:tcMar>
          </w:tcPr>
          <w:p>
            <w:pPr>
              <w:spacing w:before="0" w:after="0"/>
              <w:jc w:val="right"/>
            </w:pPr>
            <w:r>
              <w:rPr>
                <w:rFonts w:ascii="Calibri" w:hAnsi="Calibri"/>
                <w:b/>
                <w:color w:val="FFFFFF"/>
                <w:sz w:val="20"/>
              </w:rPr>
              <w:t>Pending</w:t>
            </w:r>
          </w:p>
        </w:tc>
        <w:tc>
          <w:tcPr>
            <w:tcW w:type="dxa" w:w="720"/>
            <w:shd w:fill="1A365D"/>
            <w:tcMar>
              <w:top w:w="120" w:type="dxa"/>
              <w:bottom w:w="120" w:type="dxa"/>
              <w:left w:w="120" w:type="dxa"/>
              <w:right w:w="120" w:type="dxa"/>
            </w:tcMar>
          </w:tcPr>
          <w:p>
            <w:pPr>
              <w:spacing w:before="0" w:after="0"/>
              <w:jc w:val="right"/>
            </w:pPr>
            <w:r>
              <w:rPr>
                <w:rFonts w:ascii="Calibri" w:hAnsi="Calibri"/>
                <w:b/>
                <w:color w:val="FFFFFF"/>
                <w:sz w:val="20"/>
              </w:rPr>
              <w:t>Failed</w:t>
            </w:r>
          </w:p>
        </w:tc>
        <w:tc>
          <w:tcPr>
            <w:tcW w:type="dxa" w:w="1152"/>
            <w:shd w:fill="1A365D"/>
            <w:tcMar>
              <w:top w:w="120" w:type="dxa"/>
              <w:bottom w:w="120" w:type="dxa"/>
              <w:left w:w="120" w:type="dxa"/>
              <w:right w:w="120" w:type="dxa"/>
            </w:tcMar>
          </w:tcPr>
          <w:p>
            <w:pPr>
              <w:spacing w:before="0" w:after="0"/>
              <w:jc w:val="right"/>
            </w:pPr>
            <w:r>
              <w:rPr>
                <w:rFonts w:ascii="Calibri" w:hAnsi="Calibri"/>
                <w:b/>
                <w:color w:val="FFFFFF"/>
                <w:sz w:val="20"/>
              </w:rPr>
              <w:t>Success %</w:t>
            </w:r>
          </w:p>
        </w:tc>
        <w:tc>
          <w:tcPr>
            <w:tcW w:type="dxa" w:w="1152"/>
            <w:shd w:fill="1A365D"/>
            <w:tcMar>
              <w:top w:w="120" w:type="dxa"/>
              <w:bottom w:w="120" w:type="dxa"/>
              <w:left w:w="120" w:type="dxa"/>
              <w:right w:w="120" w:type="dxa"/>
            </w:tcMar>
          </w:tcPr>
          <w:p>
            <w:pPr>
              <w:spacing w:before="0" w:after="0"/>
              <w:jc w:val="right"/>
            </w:pPr>
            <w:r>
              <w:rPr>
                <w:rFonts w:ascii="Calibri" w:hAnsi="Calibri"/>
                <w:b/>
                <w:color w:val="FFFFFF"/>
                <w:sz w:val="20"/>
              </w:rPr>
              <w:t>Failure %</w:t>
            </w:r>
          </w:p>
        </w:tc>
        <w:tc>
          <w:tcPr>
            <w:tcW w:type="dxa" w:w="1584"/>
            <w:shd w:fill="1A365D"/>
            <w:tcMar>
              <w:top w:w="120" w:type="dxa"/>
              <w:bottom w:w="120" w:type="dxa"/>
              <w:left w:w="120" w:type="dxa"/>
              <w:right w:w="120" w:type="dxa"/>
            </w:tcMar>
          </w:tcPr>
          <w:p>
            <w:pPr>
              <w:spacing w:before="0" w:after="0"/>
              <w:jc w:val="right"/>
            </w:pPr>
            <w:r>
              <w:rPr>
                <w:rFonts w:ascii="Calibri" w:hAnsi="Calibri"/>
                <w:b/>
                <w:color w:val="FFFFFF"/>
                <w:sz w:val="20"/>
              </w:rPr>
              <w:t>Gross Value (INR)</w:t>
            </w:r>
          </w:p>
        </w:tc>
      </w:tr>
      <w:tr>
        <w:trPr>
          <w:cantSplit/>
        </w:trPr>
        <w:tc>
          <w:tcPr>
            <w:tcW w:type="dxa" w:w="1728"/>
            <w:shd w:fill="FFFFFF"/>
            <w:tcMar>
              <w:top w:w="80" w:type="dxa"/>
              <w:bottom w:w="80" w:type="dxa"/>
              <w:left w:w="120" w:type="dxa"/>
              <w:right w:w="120" w:type="dxa"/>
            </w:tcMar>
          </w:tcPr>
          <w:p>
            <w:pPr>
              <w:spacing w:before="0" w:after="0"/>
              <w:jc w:val="left"/>
            </w:pPr>
            <w:r>
              <w:rPr>
                <w:rFonts w:ascii="Calibri" w:hAnsi="Calibri"/>
                <w:color w:val="2D3748"/>
                <w:sz w:val="19"/>
              </w:rPr>
              <w:t>Low Basket</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9"/>
              </w:rPr>
              <w:t>&lt; ₹500</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12</w:t>
            </w:r>
          </w:p>
        </w:tc>
        <w:tc>
          <w:tcPr>
            <w:tcW w:type="dxa" w:w="720"/>
            <w:shd w:fill="FFFFFF"/>
            <w:tcMar>
              <w:top w:w="80" w:type="dxa"/>
              <w:bottom w:w="80" w:type="dxa"/>
              <w:left w:w="120" w:type="dxa"/>
              <w:right w:w="120" w:type="dxa"/>
            </w:tcMar>
          </w:tcPr>
          <w:p>
            <w:pPr>
              <w:spacing w:before="0" w:after="0"/>
              <w:jc w:val="right"/>
            </w:pPr>
            <w:r>
              <w:rPr>
                <w:rFonts w:ascii="Calibri" w:hAnsi="Calibri"/>
                <w:color w:val="2D3748"/>
                <w:sz w:val="19"/>
              </w:rPr>
              <w:t>11</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0</w:t>
            </w:r>
          </w:p>
        </w:tc>
        <w:tc>
          <w:tcPr>
            <w:tcW w:type="dxa" w:w="720"/>
            <w:shd w:fill="FFFFFF"/>
            <w:tcMar>
              <w:top w:w="80" w:type="dxa"/>
              <w:bottom w:w="80" w:type="dxa"/>
              <w:left w:w="120" w:type="dxa"/>
              <w:right w:w="120" w:type="dxa"/>
            </w:tcMar>
          </w:tcPr>
          <w:p>
            <w:pPr>
              <w:spacing w:before="0" w:after="0"/>
              <w:jc w:val="right"/>
            </w:pPr>
            <w:r>
              <w:rPr>
                <w:rFonts w:ascii="Calibri" w:hAnsi="Calibri"/>
                <w:color w:val="2D3748"/>
                <w:sz w:val="19"/>
              </w:rPr>
              <w:t>1</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9"/>
              </w:rPr>
              <w:t>91.67%</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9"/>
              </w:rPr>
              <w:t>8.33%</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9"/>
              </w:rPr>
              <w:t>₹4,918.11</w:t>
            </w:r>
          </w:p>
        </w:tc>
      </w:tr>
      <w:tr>
        <w:trPr>
          <w:cantSplit/>
        </w:trPr>
        <w:tc>
          <w:tcPr>
            <w:tcW w:type="dxa" w:w="1728"/>
            <w:shd w:fill="F7FAFC"/>
            <w:tcMar>
              <w:top w:w="80" w:type="dxa"/>
              <w:bottom w:w="80" w:type="dxa"/>
              <w:left w:w="120" w:type="dxa"/>
              <w:right w:w="120" w:type="dxa"/>
            </w:tcMar>
          </w:tcPr>
          <w:p>
            <w:pPr>
              <w:spacing w:before="0" w:after="0"/>
              <w:jc w:val="left"/>
            </w:pPr>
            <w:r>
              <w:rPr>
                <w:rFonts w:ascii="Calibri" w:hAnsi="Calibri"/>
                <w:color w:val="2D3748"/>
                <w:sz w:val="19"/>
              </w:rPr>
              <w:t>Medium Basket</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9"/>
              </w:rPr>
              <w:t>₹500 - ₹1,000</w:t>
            </w:r>
          </w:p>
        </w:tc>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16</w:t>
            </w:r>
          </w:p>
        </w:tc>
        <w:tc>
          <w:tcPr>
            <w:tcW w:type="dxa" w:w="720"/>
            <w:shd w:fill="F7FAFC"/>
            <w:tcMar>
              <w:top w:w="80" w:type="dxa"/>
              <w:bottom w:w="80" w:type="dxa"/>
              <w:left w:w="120" w:type="dxa"/>
              <w:right w:w="120" w:type="dxa"/>
            </w:tcMar>
          </w:tcPr>
          <w:p>
            <w:pPr>
              <w:spacing w:before="0" w:after="0"/>
              <w:jc w:val="right"/>
            </w:pPr>
            <w:r>
              <w:rPr>
                <w:rFonts w:ascii="Calibri" w:hAnsi="Calibri"/>
                <w:color w:val="2D3748"/>
                <w:sz w:val="19"/>
              </w:rPr>
              <w:t>13</w:t>
            </w:r>
          </w:p>
        </w:tc>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2</w:t>
            </w:r>
          </w:p>
        </w:tc>
        <w:tc>
          <w:tcPr>
            <w:tcW w:type="dxa" w:w="720"/>
            <w:shd w:fill="F7FAFC"/>
            <w:tcMar>
              <w:top w:w="80" w:type="dxa"/>
              <w:bottom w:w="80" w:type="dxa"/>
              <w:left w:w="120" w:type="dxa"/>
              <w:right w:w="120" w:type="dxa"/>
            </w:tcMar>
          </w:tcPr>
          <w:p>
            <w:pPr>
              <w:spacing w:before="0" w:after="0"/>
              <w:jc w:val="right"/>
            </w:pPr>
            <w:r>
              <w:rPr>
                <w:rFonts w:ascii="Calibri" w:hAnsi="Calibri"/>
                <w:color w:val="2D3748"/>
                <w:sz w:val="19"/>
              </w:rPr>
              <w:t>1</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9"/>
              </w:rPr>
              <w:t>81.25%</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9"/>
              </w:rPr>
              <w:t>6.25%</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9"/>
              </w:rPr>
              <w:t>₹11,785.49</w:t>
            </w:r>
          </w:p>
        </w:tc>
      </w:tr>
      <w:tr>
        <w:trPr>
          <w:cantSplit/>
        </w:trPr>
        <w:tc>
          <w:tcPr>
            <w:tcW w:type="dxa" w:w="1728"/>
            <w:shd w:fill="FFFFFF"/>
            <w:tcMar>
              <w:top w:w="80" w:type="dxa"/>
              <w:bottom w:w="80" w:type="dxa"/>
              <w:left w:w="120" w:type="dxa"/>
              <w:right w:w="120" w:type="dxa"/>
            </w:tcMar>
          </w:tcPr>
          <w:p>
            <w:pPr>
              <w:spacing w:before="0" w:after="0"/>
              <w:jc w:val="left"/>
            </w:pPr>
            <w:r>
              <w:rPr>
                <w:rFonts w:ascii="Calibri" w:hAnsi="Calibri"/>
                <w:color w:val="2D3748"/>
                <w:sz w:val="19"/>
              </w:rPr>
              <w:t>High Basket</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9"/>
              </w:rPr>
              <w:t>₹1,000 - ₹1,500</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12</w:t>
            </w:r>
          </w:p>
        </w:tc>
        <w:tc>
          <w:tcPr>
            <w:tcW w:type="dxa" w:w="720"/>
            <w:shd w:fill="FFFFFF"/>
            <w:tcMar>
              <w:top w:w="80" w:type="dxa"/>
              <w:bottom w:w="80" w:type="dxa"/>
              <w:left w:w="120" w:type="dxa"/>
              <w:right w:w="120" w:type="dxa"/>
            </w:tcMar>
          </w:tcPr>
          <w:p>
            <w:pPr>
              <w:spacing w:before="0" w:after="0"/>
              <w:jc w:val="right"/>
            </w:pPr>
            <w:r>
              <w:rPr>
                <w:rFonts w:ascii="Calibri" w:hAnsi="Calibri"/>
                <w:color w:val="2D3748"/>
                <w:sz w:val="19"/>
              </w:rPr>
              <w:t>10</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2</w:t>
            </w:r>
          </w:p>
        </w:tc>
        <w:tc>
          <w:tcPr>
            <w:tcW w:type="dxa" w:w="720"/>
            <w:shd w:fill="FFFFFF"/>
            <w:tcMar>
              <w:top w:w="80" w:type="dxa"/>
              <w:bottom w:w="80" w:type="dxa"/>
              <w:left w:w="120" w:type="dxa"/>
              <w:right w:w="120" w:type="dxa"/>
            </w:tcMar>
          </w:tcPr>
          <w:p>
            <w:pPr>
              <w:spacing w:before="0" w:after="0"/>
              <w:jc w:val="right"/>
            </w:pPr>
            <w:r>
              <w:rPr>
                <w:rFonts w:ascii="Calibri" w:hAnsi="Calibri"/>
                <w:color w:val="2D3748"/>
                <w:sz w:val="19"/>
              </w:rPr>
              <w:t>0</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9"/>
              </w:rPr>
              <w:t>83.33%</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9"/>
              </w:rPr>
              <w:t>0.00%</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9"/>
              </w:rPr>
              <w:t>₹14,724.81</w:t>
            </w:r>
          </w:p>
        </w:tc>
      </w:tr>
      <w:tr>
        <w:trPr>
          <w:cantSplit/>
        </w:trPr>
        <w:tc>
          <w:tcPr>
            <w:tcW w:type="dxa" w:w="1728"/>
            <w:shd w:fill="F7FAFC"/>
            <w:tcMar>
              <w:top w:w="80" w:type="dxa"/>
              <w:bottom w:w="80" w:type="dxa"/>
              <w:left w:w="120" w:type="dxa"/>
              <w:right w:w="120" w:type="dxa"/>
            </w:tcMar>
          </w:tcPr>
          <w:p>
            <w:pPr>
              <w:spacing w:before="0" w:after="0"/>
              <w:jc w:val="left"/>
            </w:pPr>
            <w:r>
              <w:rPr>
                <w:rFonts w:ascii="Calibri" w:hAnsi="Calibri"/>
                <w:color w:val="2D3748"/>
                <w:sz w:val="19"/>
              </w:rPr>
              <w:t>Very High Basket</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9"/>
              </w:rPr>
              <w:t>&gt; ₹1,500</w:t>
            </w:r>
          </w:p>
        </w:tc>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10</w:t>
            </w:r>
          </w:p>
        </w:tc>
        <w:tc>
          <w:tcPr>
            <w:tcW w:type="dxa" w:w="720"/>
            <w:shd w:fill="F7FAFC"/>
            <w:tcMar>
              <w:top w:w="80" w:type="dxa"/>
              <w:bottom w:w="80" w:type="dxa"/>
              <w:left w:w="120" w:type="dxa"/>
              <w:right w:w="120" w:type="dxa"/>
            </w:tcMar>
          </w:tcPr>
          <w:p>
            <w:pPr>
              <w:spacing w:before="0" w:after="0"/>
              <w:jc w:val="right"/>
            </w:pPr>
            <w:r>
              <w:rPr>
                <w:rFonts w:ascii="Calibri" w:hAnsi="Calibri"/>
                <w:color w:val="2D3748"/>
                <w:sz w:val="19"/>
              </w:rPr>
              <w:t>9</w:t>
            </w:r>
          </w:p>
        </w:tc>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0</w:t>
            </w:r>
          </w:p>
        </w:tc>
        <w:tc>
          <w:tcPr>
            <w:tcW w:type="dxa" w:w="720"/>
            <w:shd w:fill="F7FAFC"/>
            <w:tcMar>
              <w:top w:w="80" w:type="dxa"/>
              <w:bottom w:w="80" w:type="dxa"/>
              <w:left w:w="120" w:type="dxa"/>
              <w:right w:w="120" w:type="dxa"/>
            </w:tcMar>
          </w:tcPr>
          <w:p>
            <w:pPr>
              <w:spacing w:before="0" w:after="0"/>
              <w:jc w:val="right"/>
            </w:pPr>
            <w:r>
              <w:rPr>
                <w:rFonts w:ascii="Calibri" w:hAnsi="Calibri"/>
                <w:color w:val="2D3748"/>
                <w:sz w:val="19"/>
              </w:rPr>
              <w:t>1</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9"/>
              </w:rPr>
              <w:t>90.00%</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9"/>
              </w:rPr>
              <w:t>10.00%</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9"/>
              </w:rPr>
              <w:t>₹16,411.32</w:t>
            </w:r>
          </w:p>
        </w:tc>
      </w:tr>
    </w:tbl>
    <w:p>
      <w:pPr>
        <w:spacing w:before="0" w:after="160"/>
      </w:pPr>
    </w:p>
    <w:p>
      <w:pPr>
        <w:spacing w:before="0" w:after="120" w:line="276" w:lineRule="auto"/>
      </w:pPr>
      <w:r>
        <w:rPr>
          <w:rFonts w:ascii="Calibri" w:hAnsi="Calibri"/>
          <w:color w:val="2D3748"/>
          <w:sz w:val="22"/>
        </w:rPr>
        <w:t>Key observations from basket tiering indicate that payment failure risk is particularly severe in the 'Very High Basket' tier (&gt; ₹1,500), where a single transaction failure (Order #45 on Debit Card, ₹1,615.34) wiped out over 9.8% of tier revenue. Conversely, pending transactions cluster heavily in the ₹500 - ₹1,500 brackets (4 orders totaling ₹3,578.71), primarily involving Debit Card 2FA authentication delays and Cash delivery reconciliation lag.</w:t>
      </w:r>
    </w:p>
    <w:p>
      <w:pPr>
        <w:keepNext/>
        <w:spacing w:before="320" w:after="120"/>
      </w:pPr>
      <w:r>
        <w:rPr>
          <w:rFonts w:ascii="Calibri" w:hAnsi="Calibri"/>
          <w:b/>
          <w:color w:val="1A365D"/>
          <w:sz w:val="28"/>
        </w:rPr>
        <w:t>6. Granular Root Cause Analysis of Failed and Pending Transactions</w:t>
      </w:r>
    </w:p>
    <w:p>
      <w:pPr>
        <w:spacing w:before="0" w:after="120" w:line="276" w:lineRule="auto"/>
      </w:pPr>
      <w:r>
        <w:rPr>
          <w:rFonts w:ascii="Calibri" w:hAnsi="Calibri"/>
          <w:color w:val="2D3748"/>
          <w:sz w:val="22"/>
        </w:rPr>
        <w:t>A case-by-case audit of the 3 failed and 4 pending transactions was conducted to pinpoint operational choke points:</w:t>
      </w:r>
    </w:p>
    <w:p>
      <w:pPr>
        <w:keepNext/>
        <w:spacing w:before="240" w:after="80"/>
      </w:pPr>
      <w:r>
        <w:rPr>
          <w:rFonts w:ascii="Calibri" w:hAnsi="Calibri"/>
          <w:b/>
          <w:color w:val="2B6CB0"/>
          <w:sz w:val="24"/>
        </w:rPr>
        <w:t>Itemized Failed Transactions (₹2,860.27 Direct Loss):</w:t>
      </w:r>
    </w:p>
    <w:tbl>
      <w:tblPr>
        <w:tblW w:type="auto" w:w="0"/>
        <w:jc w:val="center"/>
        <w:tblLook w:firstColumn="1" w:firstRow="1" w:lastColumn="0" w:lastRow="0" w:noHBand="0" w:noVBand="1" w:val="04A0"/>
        <w:tblBorders>
          <w:top w:val="single" w:sz="4" w:space="0" w:color="D2D6DC"/>
          <w:bottom w:val="single" w:sz="4" w:space="0" w:color="D2D6DC"/>
          <w:left w:val="none"/>
          <w:right w:val="none"/>
          <w:insideH w:val="single" w:sz="4" w:space="0" w:color="D2D6DC"/>
          <w:insideV w:val="none"/>
        </w:tblBorders>
      </w:tblPr>
      <w:tblGrid>
        <w:gridCol w:w="1170"/>
        <w:gridCol w:w="1170"/>
        <w:gridCol w:w="1170"/>
        <w:gridCol w:w="1170"/>
        <w:gridCol w:w="1170"/>
        <w:gridCol w:w="1170"/>
        <w:gridCol w:w="1170"/>
        <w:gridCol w:w="1170"/>
      </w:tblGrid>
      <w:tr>
        <w:trPr>
          <w:tblHeader/>
        </w:trPr>
        <w:tc>
          <w:tcPr>
            <w:tcW w:type="dxa" w:w="864"/>
            <w:shd w:fill="1A365D"/>
            <w:tcMar>
              <w:top w:w="120" w:type="dxa"/>
              <w:bottom w:w="120" w:type="dxa"/>
              <w:left w:w="120" w:type="dxa"/>
              <w:right w:w="120" w:type="dxa"/>
            </w:tcMar>
          </w:tcPr>
          <w:p>
            <w:pPr>
              <w:spacing w:before="0" w:after="0"/>
              <w:jc w:val="right"/>
            </w:pPr>
            <w:r>
              <w:rPr>
                <w:rFonts w:ascii="Calibri" w:hAnsi="Calibri"/>
                <w:b/>
                <w:color w:val="FFFFFF"/>
                <w:sz w:val="20"/>
              </w:rPr>
              <w:t>Payment ID</w:t>
            </w:r>
          </w:p>
        </w:tc>
        <w:tc>
          <w:tcPr>
            <w:tcW w:type="dxa" w:w="864"/>
            <w:shd w:fill="1A365D"/>
            <w:tcMar>
              <w:top w:w="120" w:type="dxa"/>
              <w:bottom w:w="120" w:type="dxa"/>
              <w:left w:w="120" w:type="dxa"/>
              <w:right w:w="120" w:type="dxa"/>
            </w:tcMar>
          </w:tcPr>
          <w:p>
            <w:pPr>
              <w:spacing w:before="0" w:after="0"/>
              <w:jc w:val="right"/>
            </w:pPr>
            <w:r>
              <w:rPr>
                <w:rFonts w:ascii="Calibri" w:hAnsi="Calibri"/>
                <w:b/>
                <w:color w:val="FFFFFF"/>
                <w:sz w:val="20"/>
              </w:rPr>
              <w:t>Order ID</w:t>
            </w:r>
          </w:p>
        </w:tc>
        <w:tc>
          <w:tcPr>
            <w:tcW w:type="dxa" w:w="1152"/>
            <w:shd w:fill="1A365D"/>
            <w:tcMar>
              <w:top w:w="120" w:type="dxa"/>
              <w:bottom w:w="120" w:type="dxa"/>
              <w:left w:w="120" w:type="dxa"/>
              <w:right w:w="120" w:type="dxa"/>
            </w:tcMar>
          </w:tcPr>
          <w:p>
            <w:pPr>
              <w:spacing w:before="0" w:after="0"/>
              <w:jc w:val="left"/>
            </w:pPr>
            <w:r>
              <w:rPr>
                <w:rFonts w:ascii="Calibri" w:hAnsi="Calibri"/>
                <w:b/>
                <w:color w:val="FFFFFF"/>
                <w:sz w:val="20"/>
              </w:rPr>
              <w:t>Payment Method</w:t>
            </w:r>
          </w:p>
        </w:tc>
        <w:tc>
          <w:tcPr>
            <w:tcW w:type="dxa" w:w="1152"/>
            <w:shd w:fill="1A365D"/>
            <w:tcMar>
              <w:top w:w="120" w:type="dxa"/>
              <w:bottom w:w="120" w:type="dxa"/>
              <w:left w:w="120" w:type="dxa"/>
              <w:right w:w="120" w:type="dxa"/>
            </w:tcMar>
          </w:tcPr>
          <w:p>
            <w:pPr>
              <w:spacing w:before="0" w:after="0"/>
              <w:jc w:val="right"/>
            </w:pPr>
            <w:r>
              <w:rPr>
                <w:rFonts w:ascii="Calibri" w:hAnsi="Calibri"/>
                <w:b/>
                <w:color w:val="FFFFFF"/>
                <w:sz w:val="20"/>
              </w:rPr>
              <w:t>Order Amount</w:t>
            </w:r>
          </w:p>
        </w:tc>
        <w:tc>
          <w:tcPr>
            <w:tcW w:type="dxa" w:w="864"/>
            <w:shd w:fill="1A365D"/>
            <w:tcMar>
              <w:top w:w="120" w:type="dxa"/>
              <w:bottom w:w="120" w:type="dxa"/>
              <w:left w:w="120" w:type="dxa"/>
              <w:right w:w="120" w:type="dxa"/>
            </w:tcMar>
          </w:tcPr>
          <w:p>
            <w:pPr>
              <w:spacing w:before="0" w:after="0"/>
              <w:jc w:val="right"/>
            </w:pPr>
            <w:r>
              <w:rPr>
                <w:rFonts w:ascii="Calibri" w:hAnsi="Calibri"/>
                <w:b/>
                <w:color w:val="FFFFFF"/>
                <w:sz w:val="20"/>
              </w:rPr>
              <w:t>Discount</w:t>
            </w:r>
          </w:p>
        </w:tc>
        <w:tc>
          <w:tcPr>
            <w:tcW w:type="dxa" w:w="1152"/>
            <w:shd w:fill="1A365D"/>
            <w:tcMar>
              <w:top w:w="120" w:type="dxa"/>
              <w:bottom w:w="120" w:type="dxa"/>
              <w:left w:w="120" w:type="dxa"/>
              <w:right w:w="120" w:type="dxa"/>
            </w:tcMar>
          </w:tcPr>
          <w:p>
            <w:pPr>
              <w:spacing w:before="0" w:after="0"/>
              <w:jc w:val="right"/>
            </w:pPr>
            <w:r>
              <w:rPr>
                <w:rFonts w:ascii="Calibri" w:hAnsi="Calibri"/>
                <w:b/>
                <w:color w:val="FFFFFF"/>
                <w:sz w:val="20"/>
              </w:rPr>
              <w:t>Net Lost Rev</w:t>
            </w:r>
          </w:p>
        </w:tc>
        <w:tc>
          <w:tcPr>
            <w:tcW w:type="dxa" w:w="1152"/>
            <w:shd w:fill="1A365D"/>
            <w:tcMar>
              <w:top w:w="120" w:type="dxa"/>
              <w:bottom w:w="120" w:type="dxa"/>
              <w:left w:w="120" w:type="dxa"/>
              <w:right w:w="120" w:type="dxa"/>
            </w:tcMar>
          </w:tcPr>
          <w:p>
            <w:pPr>
              <w:spacing w:before="0" w:after="0"/>
              <w:jc w:val="left"/>
            </w:pPr>
            <w:r>
              <w:rPr>
                <w:rFonts w:ascii="Calibri" w:hAnsi="Calibri"/>
                <w:b/>
                <w:color w:val="FFFFFF"/>
                <w:sz w:val="20"/>
              </w:rPr>
              <w:t>Order Status</w:t>
            </w:r>
          </w:p>
        </w:tc>
        <w:tc>
          <w:tcPr>
            <w:tcW w:type="dxa" w:w="2592"/>
            <w:shd w:fill="1A365D"/>
            <w:tcMar>
              <w:top w:w="120" w:type="dxa"/>
              <w:bottom w:w="120" w:type="dxa"/>
              <w:left w:w="120" w:type="dxa"/>
              <w:right w:w="120" w:type="dxa"/>
            </w:tcMar>
          </w:tcPr>
          <w:p>
            <w:pPr>
              <w:spacing w:before="0" w:after="0"/>
              <w:jc w:val="left"/>
            </w:pPr>
            <w:r>
              <w:rPr>
                <w:rFonts w:ascii="Calibri" w:hAnsi="Calibri"/>
                <w:b/>
                <w:color w:val="FFFFFF"/>
                <w:sz w:val="20"/>
              </w:rPr>
              <w:t>Root Cause</w:t>
            </w:r>
          </w:p>
        </w:tc>
      </w:tr>
      <w:tr>
        <w:trPr>
          <w:cantSplit/>
        </w:trPr>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29</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29</w:t>
            </w:r>
          </w:p>
        </w:tc>
        <w:tc>
          <w:tcPr>
            <w:tcW w:type="dxa" w:w="1152"/>
            <w:shd w:fill="FFFFFF"/>
            <w:tcMar>
              <w:top w:w="80" w:type="dxa"/>
              <w:bottom w:w="80" w:type="dxa"/>
              <w:left w:w="120" w:type="dxa"/>
              <w:right w:w="120" w:type="dxa"/>
            </w:tcMar>
          </w:tcPr>
          <w:p>
            <w:pPr>
              <w:spacing w:before="0" w:after="0"/>
              <w:jc w:val="left"/>
            </w:pPr>
            <w:r>
              <w:rPr>
                <w:rFonts w:ascii="Calibri" w:hAnsi="Calibri"/>
                <w:color w:val="2D3748"/>
                <w:sz w:val="19"/>
              </w:rPr>
              <w:t>Cash</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9"/>
              </w:rPr>
              <w:t>₹967.07</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₹100.00</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9"/>
              </w:rPr>
              <w:t>₹867.07</w:t>
            </w:r>
          </w:p>
        </w:tc>
        <w:tc>
          <w:tcPr>
            <w:tcW w:type="dxa" w:w="1152"/>
            <w:shd w:fill="FFFFFF"/>
            <w:tcMar>
              <w:top w:w="80" w:type="dxa"/>
              <w:bottom w:w="80" w:type="dxa"/>
              <w:left w:w="120" w:type="dxa"/>
              <w:right w:w="120" w:type="dxa"/>
            </w:tcMar>
          </w:tcPr>
          <w:p>
            <w:pPr>
              <w:spacing w:before="0" w:after="0"/>
              <w:jc w:val="left"/>
            </w:pPr>
            <w:r>
              <w:rPr>
                <w:rFonts w:ascii="Calibri" w:hAnsi="Calibri"/>
                <w:color w:val="2D3748"/>
                <w:sz w:val="19"/>
              </w:rPr>
              <w:t>Cancelled</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9"/>
              </w:rPr>
              <w:t>Customer refused delivery / Cash unavailable at doorstep</w:t>
            </w:r>
          </w:p>
        </w:tc>
      </w:tr>
      <w:tr>
        <w:trPr>
          <w:cantSplit/>
        </w:trPr>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42</w:t>
            </w:r>
          </w:p>
        </w:tc>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42</w:t>
            </w:r>
          </w:p>
        </w:tc>
        <w:tc>
          <w:tcPr>
            <w:tcW w:type="dxa" w:w="1152"/>
            <w:shd w:fill="F7FAFC"/>
            <w:tcMar>
              <w:top w:w="80" w:type="dxa"/>
              <w:bottom w:w="80" w:type="dxa"/>
              <w:left w:w="120" w:type="dxa"/>
              <w:right w:w="120" w:type="dxa"/>
            </w:tcMar>
          </w:tcPr>
          <w:p>
            <w:pPr>
              <w:spacing w:before="0" w:after="0"/>
              <w:jc w:val="left"/>
            </w:pPr>
            <w:r>
              <w:rPr>
                <w:rFonts w:ascii="Calibri" w:hAnsi="Calibri"/>
                <w:color w:val="2D3748"/>
                <w:sz w:val="19"/>
              </w:rPr>
              <w:t>UPI</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9"/>
              </w:rPr>
              <w:t>₹452.86</w:t>
            </w:r>
          </w:p>
        </w:tc>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₹75.00</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9"/>
              </w:rPr>
              <w:t>₹377.86</w:t>
            </w:r>
          </w:p>
        </w:tc>
        <w:tc>
          <w:tcPr>
            <w:tcW w:type="dxa" w:w="1152"/>
            <w:shd w:fill="F7FAFC"/>
            <w:tcMar>
              <w:top w:w="80" w:type="dxa"/>
              <w:bottom w:w="80" w:type="dxa"/>
              <w:left w:w="120" w:type="dxa"/>
              <w:right w:w="120" w:type="dxa"/>
            </w:tcMar>
          </w:tcPr>
          <w:p>
            <w:pPr>
              <w:spacing w:before="0" w:after="0"/>
              <w:jc w:val="left"/>
            </w:pPr>
            <w:r>
              <w:rPr>
                <w:rFonts w:ascii="Calibri" w:hAnsi="Calibri"/>
                <w:color w:val="2D3748"/>
                <w:sz w:val="19"/>
              </w:rPr>
              <w:t>Delivered</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9"/>
              </w:rPr>
              <w:t>UPI App switch timeout / Settlement failure post-delivery</w:t>
            </w:r>
          </w:p>
        </w:tc>
      </w:tr>
      <w:tr>
        <w:trPr>
          <w:cantSplit/>
        </w:trPr>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45</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45</w:t>
            </w:r>
          </w:p>
        </w:tc>
        <w:tc>
          <w:tcPr>
            <w:tcW w:type="dxa" w:w="1152"/>
            <w:shd w:fill="FFFFFF"/>
            <w:tcMar>
              <w:top w:w="80" w:type="dxa"/>
              <w:bottom w:w="80" w:type="dxa"/>
              <w:left w:w="120" w:type="dxa"/>
              <w:right w:w="120" w:type="dxa"/>
            </w:tcMar>
          </w:tcPr>
          <w:p>
            <w:pPr>
              <w:spacing w:before="0" w:after="0"/>
              <w:jc w:val="left"/>
            </w:pPr>
            <w:r>
              <w:rPr>
                <w:rFonts w:ascii="Calibri" w:hAnsi="Calibri"/>
                <w:color w:val="2D3748"/>
                <w:sz w:val="19"/>
              </w:rPr>
              <w:t>Debit Card</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9"/>
              </w:rPr>
              <w:t>₹1,615.34</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₹0.00</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9"/>
              </w:rPr>
              <w:t>₹1,615.34</w:t>
            </w:r>
          </w:p>
        </w:tc>
        <w:tc>
          <w:tcPr>
            <w:tcW w:type="dxa" w:w="1152"/>
            <w:shd w:fill="FFFFFF"/>
            <w:tcMar>
              <w:top w:w="80" w:type="dxa"/>
              <w:bottom w:w="80" w:type="dxa"/>
              <w:left w:w="120" w:type="dxa"/>
              <w:right w:w="120" w:type="dxa"/>
            </w:tcMar>
          </w:tcPr>
          <w:p>
            <w:pPr>
              <w:spacing w:before="0" w:after="0"/>
              <w:jc w:val="left"/>
            </w:pPr>
            <w:r>
              <w:rPr>
                <w:rFonts w:ascii="Calibri" w:hAnsi="Calibri"/>
                <w:color w:val="2D3748"/>
                <w:sz w:val="19"/>
              </w:rPr>
              <w:t>Delivered</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9"/>
              </w:rPr>
              <w:t>Bank 3D-Secure gateway failure / OTP expiry on high ticket</w:t>
            </w:r>
          </w:p>
        </w:tc>
      </w:tr>
    </w:tbl>
    <w:p>
      <w:pPr>
        <w:spacing w:before="0" w:after="160"/>
      </w:pPr>
    </w:p>
    <w:p>
      <w:pPr>
        <w:keepNext/>
        <w:spacing w:before="240" w:after="80"/>
      </w:pPr>
      <w:r>
        <w:rPr>
          <w:rFonts w:ascii="Calibri" w:hAnsi="Calibri"/>
          <w:b/>
          <w:color w:val="2B6CB0"/>
          <w:sz w:val="24"/>
        </w:rPr>
        <w:t>Itemized Pending Transactions (₹3,578.71 Pipeline at Risk):</w:t>
      </w:r>
    </w:p>
    <w:tbl>
      <w:tblPr>
        <w:tblW w:type="auto" w:w="0"/>
        <w:jc w:val="center"/>
        <w:tblLook w:firstColumn="1" w:firstRow="1" w:lastColumn="0" w:lastRow="0" w:noHBand="0" w:noVBand="1" w:val="04A0"/>
        <w:tblBorders>
          <w:top w:val="single" w:sz="4" w:space="0" w:color="D2D6DC"/>
          <w:bottom w:val="single" w:sz="4" w:space="0" w:color="D2D6DC"/>
          <w:left w:val="none"/>
          <w:right w:val="none"/>
          <w:insideH w:val="single" w:sz="4" w:space="0" w:color="D2D6DC"/>
          <w:insideV w:val="none"/>
        </w:tblBorders>
      </w:tblPr>
      <w:tblGrid>
        <w:gridCol w:w="1170"/>
        <w:gridCol w:w="1170"/>
        <w:gridCol w:w="1170"/>
        <w:gridCol w:w="1170"/>
        <w:gridCol w:w="1170"/>
        <w:gridCol w:w="1170"/>
        <w:gridCol w:w="1170"/>
        <w:gridCol w:w="1170"/>
      </w:tblGrid>
      <w:tr>
        <w:trPr>
          <w:tblHeader/>
        </w:trPr>
        <w:tc>
          <w:tcPr>
            <w:tcW w:type="dxa" w:w="864"/>
            <w:shd w:fill="1A365D"/>
            <w:tcMar>
              <w:top w:w="120" w:type="dxa"/>
              <w:bottom w:w="120" w:type="dxa"/>
              <w:left w:w="120" w:type="dxa"/>
              <w:right w:w="120" w:type="dxa"/>
            </w:tcMar>
          </w:tcPr>
          <w:p>
            <w:pPr>
              <w:spacing w:before="0" w:after="0"/>
              <w:jc w:val="right"/>
            </w:pPr>
            <w:r>
              <w:rPr>
                <w:rFonts w:ascii="Calibri" w:hAnsi="Calibri"/>
                <w:b/>
                <w:color w:val="FFFFFF"/>
                <w:sz w:val="20"/>
              </w:rPr>
              <w:t>Payment ID</w:t>
            </w:r>
          </w:p>
        </w:tc>
        <w:tc>
          <w:tcPr>
            <w:tcW w:type="dxa" w:w="864"/>
            <w:shd w:fill="1A365D"/>
            <w:tcMar>
              <w:top w:w="120" w:type="dxa"/>
              <w:bottom w:w="120" w:type="dxa"/>
              <w:left w:w="120" w:type="dxa"/>
              <w:right w:w="120" w:type="dxa"/>
            </w:tcMar>
          </w:tcPr>
          <w:p>
            <w:pPr>
              <w:spacing w:before="0" w:after="0"/>
              <w:jc w:val="right"/>
            </w:pPr>
            <w:r>
              <w:rPr>
                <w:rFonts w:ascii="Calibri" w:hAnsi="Calibri"/>
                <w:b/>
                <w:color w:val="FFFFFF"/>
                <w:sz w:val="20"/>
              </w:rPr>
              <w:t>Order ID</w:t>
            </w:r>
          </w:p>
        </w:tc>
        <w:tc>
          <w:tcPr>
            <w:tcW w:type="dxa" w:w="1152"/>
            <w:shd w:fill="1A365D"/>
            <w:tcMar>
              <w:top w:w="120" w:type="dxa"/>
              <w:bottom w:w="120" w:type="dxa"/>
              <w:left w:w="120" w:type="dxa"/>
              <w:right w:w="120" w:type="dxa"/>
            </w:tcMar>
          </w:tcPr>
          <w:p>
            <w:pPr>
              <w:spacing w:before="0" w:after="0"/>
              <w:jc w:val="left"/>
            </w:pPr>
            <w:r>
              <w:rPr>
                <w:rFonts w:ascii="Calibri" w:hAnsi="Calibri"/>
                <w:b/>
                <w:color w:val="FFFFFF"/>
                <w:sz w:val="20"/>
              </w:rPr>
              <w:t>Payment Method</w:t>
            </w:r>
          </w:p>
        </w:tc>
        <w:tc>
          <w:tcPr>
            <w:tcW w:type="dxa" w:w="1152"/>
            <w:shd w:fill="1A365D"/>
            <w:tcMar>
              <w:top w:w="120" w:type="dxa"/>
              <w:bottom w:w="120" w:type="dxa"/>
              <w:left w:w="120" w:type="dxa"/>
              <w:right w:w="120" w:type="dxa"/>
            </w:tcMar>
          </w:tcPr>
          <w:p>
            <w:pPr>
              <w:spacing w:before="0" w:after="0"/>
              <w:jc w:val="right"/>
            </w:pPr>
            <w:r>
              <w:rPr>
                <w:rFonts w:ascii="Calibri" w:hAnsi="Calibri"/>
                <w:b/>
                <w:color w:val="FFFFFF"/>
                <w:sz w:val="20"/>
              </w:rPr>
              <w:t>Order Amount</w:t>
            </w:r>
          </w:p>
        </w:tc>
        <w:tc>
          <w:tcPr>
            <w:tcW w:type="dxa" w:w="864"/>
            <w:shd w:fill="1A365D"/>
            <w:tcMar>
              <w:top w:w="120" w:type="dxa"/>
              <w:bottom w:w="120" w:type="dxa"/>
              <w:left w:w="120" w:type="dxa"/>
              <w:right w:w="120" w:type="dxa"/>
            </w:tcMar>
          </w:tcPr>
          <w:p>
            <w:pPr>
              <w:spacing w:before="0" w:after="0"/>
              <w:jc w:val="right"/>
            </w:pPr>
            <w:r>
              <w:rPr>
                <w:rFonts w:ascii="Calibri" w:hAnsi="Calibri"/>
                <w:b/>
                <w:color w:val="FFFFFF"/>
                <w:sz w:val="20"/>
              </w:rPr>
              <w:t>Discount</w:t>
            </w:r>
          </w:p>
        </w:tc>
        <w:tc>
          <w:tcPr>
            <w:tcW w:type="dxa" w:w="1152"/>
            <w:shd w:fill="1A365D"/>
            <w:tcMar>
              <w:top w:w="120" w:type="dxa"/>
              <w:bottom w:w="120" w:type="dxa"/>
              <w:left w:w="120" w:type="dxa"/>
              <w:right w:w="120" w:type="dxa"/>
            </w:tcMar>
          </w:tcPr>
          <w:p>
            <w:pPr>
              <w:spacing w:before="0" w:after="0"/>
              <w:jc w:val="right"/>
            </w:pPr>
            <w:r>
              <w:rPr>
                <w:rFonts w:ascii="Calibri" w:hAnsi="Calibri"/>
                <w:b/>
                <w:color w:val="FFFFFF"/>
                <w:sz w:val="20"/>
              </w:rPr>
              <w:t>Net At-Risk</w:t>
            </w:r>
          </w:p>
        </w:tc>
        <w:tc>
          <w:tcPr>
            <w:tcW w:type="dxa" w:w="1152"/>
            <w:shd w:fill="1A365D"/>
            <w:tcMar>
              <w:top w:w="120" w:type="dxa"/>
              <w:bottom w:w="120" w:type="dxa"/>
              <w:left w:w="120" w:type="dxa"/>
              <w:right w:w="120" w:type="dxa"/>
            </w:tcMar>
          </w:tcPr>
          <w:p>
            <w:pPr>
              <w:spacing w:before="0" w:after="0"/>
              <w:jc w:val="left"/>
            </w:pPr>
            <w:r>
              <w:rPr>
                <w:rFonts w:ascii="Calibri" w:hAnsi="Calibri"/>
                <w:b/>
                <w:color w:val="FFFFFF"/>
                <w:sz w:val="20"/>
              </w:rPr>
              <w:t>Order Status</w:t>
            </w:r>
          </w:p>
        </w:tc>
        <w:tc>
          <w:tcPr>
            <w:tcW w:type="dxa" w:w="2592"/>
            <w:shd w:fill="1A365D"/>
            <w:tcMar>
              <w:top w:w="120" w:type="dxa"/>
              <w:bottom w:w="120" w:type="dxa"/>
              <w:left w:w="120" w:type="dxa"/>
              <w:right w:w="120" w:type="dxa"/>
            </w:tcMar>
          </w:tcPr>
          <w:p>
            <w:pPr>
              <w:spacing w:before="0" w:after="0"/>
              <w:jc w:val="left"/>
            </w:pPr>
            <w:r>
              <w:rPr>
                <w:rFonts w:ascii="Calibri" w:hAnsi="Calibri"/>
                <w:b/>
                <w:color w:val="FFFFFF"/>
                <w:sz w:val="20"/>
              </w:rPr>
              <w:t>Root Cause</w:t>
            </w:r>
          </w:p>
        </w:tc>
      </w:tr>
      <w:tr>
        <w:trPr>
          <w:cantSplit/>
        </w:trPr>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2</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2</w:t>
            </w:r>
          </w:p>
        </w:tc>
        <w:tc>
          <w:tcPr>
            <w:tcW w:type="dxa" w:w="1152"/>
            <w:shd w:fill="FFFFFF"/>
            <w:tcMar>
              <w:top w:w="80" w:type="dxa"/>
              <w:bottom w:w="80" w:type="dxa"/>
              <w:left w:w="120" w:type="dxa"/>
              <w:right w:w="120" w:type="dxa"/>
            </w:tcMar>
          </w:tcPr>
          <w:p>
            <w:pPr>
              <w:spacing w:before="0" w:after="0"/>
              <w:jc w:val="left"/>
            </w:pPr>
            <w:r>
              <w:rPr>
                <w:rFonts w:ascii="Calibri" w:hAnsi="Calibri"/>
                <w:color w:val="2D3748"/>
                <w:sz w:val="19"/>
              </w:rPr>
              <w:t>Cash</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9"/>
              </w:rPr>
              <w:t>₹1,156.11</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₹50.00</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9"/>
              </w:rPr>
              <w:t>₹1,106.11</w:t>
            </w:r>
          </w:p>
        </w:tc>
        <w:tc>
          <w:tcPr>
            <w:tcW w:type="dxa" w:w="1152"/>
            <w:shd w:fill="FFFFFF"/>
            <w:tcMar>
              <w:top w:w="80" w:type="dxa"/>
              <w:bottom w:w="80" w:type="dxa"/>
              <w:left w:w="120" w:type="dxa"/>
              <w:right w:w="120" w:type="dxa"/>
            </w:tcMar>
          </w:tcPr>
          <w:p>
            <w:pPr>
              <w:spacing w:before="0" w:after="0"/>
              <w:jc w:val="left"/>
            </w:pPr>
            <w:r>
              <w:rPr>
                <w:rFonts w:ascii="Calibri" w:hAnsi="Calibri"/>
                <w:color w:val="2D3748"/>
                <w:sz w:val="19"/>
              </w:rPr>
              <w:t>Delivered</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9"/>
              </w:rPr>
              <w:t>Delivery partner delayed cash deposit / Unreconciled COD</w:t>
            </w:r>
          </w:p>
        </w:tc>
      </w:tr>
      <w:tr>
        <w:trPr>
          <w:cantSplit/>
        </w:trPr>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11</w:t>
            </w:r>
          </w:p>
        </w:tc>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11</w:t>
            </w:r>
          </w:p>
        </w:tc>
        <w:tc>
          <w:tcPr>
            <w:tcW w:type="dxa" w:w="1152"/>
            <w:shd w:fill="F7FAFC"/>
            <w:tcMar>
              <w:top w:w="80" w:type="dxa"/>
              <w:bottom w:w="80" w:type="dxa"/>
              <w:left w:w="120" w:type="dxa"/>
              <w:right w:w="120" w:type="dxa"/>
            </w:tcMar>
          </w:tcPr>
          <w:p>
            <w:pPr>
              <w:spacing w:before="0" w:after="0"/>
              <w:jc w:val="left"/>
            </w:pPr>
            <w:r>
              <w:rPr>
                <w:rFonts w:ascii="Calibri" w:hAnsi="Calibri"/>
                <w:color w:val="2D3748"/>
                <w:sz w:val="19"/>
              </w:rPr>
              <w:t>Cash</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9"/>
              </w:rPr>
              <w:t>₹500.40</w:t>
            </w:r>
          </w:p>
        </w:tc>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₹100.00</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9"/>
              </w:rPr>
              <w:t>₹400.40</w:t>
            </w:r>
          </w:p>
        </w:tc>
        <w:tc>
          <w:tcPr>
            <w:tcW w:type="dxa" w:w="1152"/>
            <w:shd w:fill="F7FAFC"/>
            <w:tcMar>
              <w:top w:w="80" w:type="dxa"/>
              <w:bottom w:w="80" w:type="dxa"/>
              <w:left w:w="120" w:type="dxa"/>
              <w:right w:w="120" w:type="dxa"/>
            </w:tcMar>
          </w:tcPr>
          <w:p>
            <w:pPr>
              <w:spacing w:before="0" w:after="0"/>
              <w:jc w:val="left"/>
            </w:pPr>
            <w:r>
              <w:rPr>
                <w:rFonts w:ascii="Calibri" w:hAnsi="Calibri"/>
                <w:color w:val="2D3748"/>
                <w:sz w:val="19"/>
              </w:rPr>
              <w:t>Cancelled</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9"/>
              </w:rPr>
              <w:t>Order cancelled prior to cash collection at doorstep</w:t>
            </w:r>
          </w:p>
        </w:tc>
      </w:tr>
      <w:tr>
        <w:trPr>
          <w:cantSplit/>
        </w:trPr>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35</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35</w:t>
            </w:r>
          </w:p>
        </w:tc>
        <w:tc>
          <w:tcPr>
            <w:tcW w:type="dxa" w:w="1152"/>
            <w:shd w:fill="FFFFFF"/>
            <w:tcMar>
              <w:top w:w="80" w:type="dxa"/>
              <w:bottom w:w="80" w:type="dxa"/>
              <w:left w:w="120" w:type="dxa"/>
              <w:right w:w="120" w:type="dxa"/>
            </w:tcMar>
          </w:tcPr>
          <w:p>
            <w:pPr>
              <w:spacing w:before="0" w:after="0"/>
              <w:jc w:val="left"/>
            </w:pPr>
            <w:r>
              <w:rPr>
                <w:rFonts w:ascii="Calibri" w:hAnsi="Calibri"/>
                <w:color w:val="2D3748"/>
                <w:sz w:val="19"/>
              </w:rPr>
              <w:t>Debit Card</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9"/>
              </w:rPr>
              <w:t>₹709.90</w:t>
            </w:r>
          </w:p>
        </w:tc>
        <w:tc>
          <w:tcPr>
            <w:tcW w:type="dxa" w:w="864"/>
            <w:shd w:fill="FFFFFF"/>
            <w:tcMar>
              <w:top w:w="80" w:type="dxa"/>
              <w:bottom w:w="80" w:type="dxa"/>
              <w:left w:w="120" w:type="dxa"/>
              <w:right w:w="120" w:type="dxa"/>
            </w:tcMar>
          </w:tcPr>
          <w:p>
            <w:pPr>
              <w:spacing w:before="0" w:after="0"/>
              <w:jc w:val="right"/>
            </w:pPr>
            <w:r>
              <w:rPr>
                <w:rFonts w:ascii="Calibri" w:hAnsi="Calibri"/>
                <w:color w:val="2D3748"/>
                <w:sz w:val="19"/>
              </w:rPr>
              <w:t>₹0.00</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9"/>
              </w:rPr>
              <w:t>₹709.90</w:t>
            </w:r>
          </w:p>
        </w:tc>
        <w:tc>
          <w:tcPr>
            <w:tcW w:type="dxa" w:w="1152"/>
            <w:shd w:fill="FFFFFF"/>
            <w:tcMar>
              <w:top w:w="80" w:type="dxa"/>
              <w:bottom w:w="80" w:type="dxa"/>
              <w:left w:w="120" w:type="dxa"/>
              <w:right w:w="120" w:type="dxa"/>
            </w:tcMar>
          </w:tcPr>
          <w:p>
            <w:pPr>
              <w:spacing w:before="0" w:after="0"/>
              <w:jc w:val="left"/>
            </w:pPr>
            <w:r>
              <w:rPr>
                <w:rFonts w:ascii="Calibri" w:hAnsi="Calibri"/>
                <w:color w:val="2D3748"/>
                <w:sz w:val="19"/>
              </w:rPr>
              <w:t>Delivered</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9"/>
              </w:rPr>
              <w:t>Delayed bank webhook callback / Unconfirmed authorization</w:t>
            </w:r>
          </w:p>
        </w:tc>
      </w:tr>
      <w:tr>
        <w:trPr>
          <w:cantSplit/>
        </w:trPr>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50</w:t>
            </w:r>
          </w:p>
        </w:tc>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50</w:t>
            </w:r>
          </w:p>
        </w:tc>
        <w:tc>
          <w:tcPr>
            <w:tcW w:type="dxa" w:w="1152"/>
            <w:shd w:fill="F7FAFC"/>
            <w:tcMar>
              <w:top w:w="80" w:type="dxa"/>
              <w:bottom w:w="80" w:type="dxa"/>
              <w:left w:w="120" w:type="dxa"/>
              <w:right w:w="120" w:type="dxa"/>
            </w:tcMar>
          </w:tcPr>
          <w:p>
            <w:pPr>
              <w:spacing w:before="0" w:after="0"/>
              <w:jc w:val="left"/>
            </w:pPr>
            <w:r>
              <w:rPr>
                <w:rFonts w:ascii="Calibri" w:hAnsi="Calibri"/>
                <w:color w:val="2D3748"/>
                <w:sz w:val="19"/>
              </w:rPr>
              <w:t>Debit Card</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9"/>
              </w:rPr>
              <w:t>₹1,362.30</w:t>
            </w:r>
          </w:p>
        </w:tc>
        <w:tc>
          <w:tcPr>
            <w:tcW w:type="dxa" w:w="864"/>
            <w:shd w:fill="F7FAFC"/>
            <w:tcMar>
              <w:top w:w="80" w:type="dxa"/>
              <w:bottom w:w="80" w:type="dxa"/>
              <w:left w:w="120" w:type="dxa"/>
              <w:right w:w="120" w:type="dxa"/>
            </w:tcMar>
          </w:tcPr>
          <w:p>
            <w:pPr>
              <w:spacing w:before="0" w:after="0"/>
              <w:jc w:val="right"/>
            </w:pPr>
            <w:r>
              <w:rPr>
                <w:rFonts w:ascii="Calibri" w:hAnsi="Calibri"/>
                <w:color w:val="2D3748"/>
                <w:sz w:val="19"/>
              </w:rPr>
              <w:t>₹0.00</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9"/>
              </w:rPr>
              <w:t>₹1,362.30</w:t>
            </w:r>
          </w:p>
        </w:tc>
        <w:tc>
          <w:tcPr>
            <w:tcW w:type="dxa" w:w="1152"/>
            <w:shd w:fill="F7FAFC"/>
            <w:tcMar>
              <w:top w:w="80" w:type="dxa"/>
              <w:bottom w:w="80" w:type="dxa"/>
              <w:left w:w="120" w:type="dxa"/>
              <w:right w:w="120" w:type="dxa"/>
            </w:tcMar>
          </w:tcPr>
          <w:p>
            <w:pPr>
              <w:spacing w:before="0" w:after="0"/>
              <w:jc w:val="left"/>
            </w:pPr>
            <w:r>
              <w:rPr>
                <w:rFonts w:ascii="Calibri" w:hAnsi="Calibri"/>
                <w:color w:val="2D3748"/>
                <w:sz w:val="19"/>
              </w:rPr>
              <w:t>Pending</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9"/>
              </w:rPr>
              <w:t>Order &amp; payment both pending / Customer session abandon</w:t>
            </w:r>
          </w:p>
        </w:tc>
      </w:tr>
    </w:tbl>
    <w:p>
      <w:pPr>
        <w:spacing w:before="0" w:after="160"/>
      </w:pPr>
    </w:p>
    <w:p>
      <w:pPr>
        <w:spacing w:before="0" w:after="120" w:line="276" w:lineRule="auto"/>
      </w:pPr>
      <w:r>
        <w:rPr>
          <w:rFonts w:ascii="Calibri" w:hAnsi="Calibri"/>
          <w:color w:val="2D3748"/>
          <w:sz w:val="22"/>
        </w:rPr>
        <w:t>Notably, Orders #42 and #45 were marked as 'Delivered' in the fulfillment system despite terminal payment failures, resulting in ₹1,993.20 of unrecovered operational losses. This highlights an urgent architectural defect: food orders are being dispatched before positive payment capture confirmation.</w:t>
      </w:r>
    </w:p>
    <w:p>
      <w:pPr>
        <w:keepNext/>
        <w:spacing w:before="320" w:after="120"/>
      </w:pPr>
      <w:r>
        <w:rPr>
          <w:rFonts w:ascii="Calibri" w:hAnsi="Calibri"/>
          <w:b/>
          <w:color w:val="1A365D"/>
          <w:sz w:val="28"/>
        </w:rPr>
        <w:t>7. Important Business Insights</w:t>
      </w:r>
    </w:p>
    <w:p>
      <w:pPr>
        <w:pStyle w:val="ListBullet"/>
        <w:spacing w:before="40" w:after="80" w:line="276" w:lineRule="auto"/>
      </w:pPr>
      <w:r>
        <w:rPr>
          <w:rFonts w:ascii="Calibri" w:hAnsi="Calibri"/>
          <w:b/>
          <w:color w:val="1A365D"/>
          <w:sz w:val="22"/>
        </w:rPr>
        <w:t xml:space="preserve">Insight 1 - Debit Card Leads Volume but Harbors High Friction: </w:t>
      </w:r>
      <w:r>
        <w:rPr>
          <w:rFonts w:ascii="Calibri" w:hAnsi="Calibri"/>
          <w:color w:val="2D3748"/>
          <w:sz w:val="22"/>
        </w:rPr>
        <w:t>Debit Card represents the largest checkout share (30.00%, 15 orders) and delivers ₹11,849.13 in settled net sales. However, its 20.00% non-completion rate (13.33% pending, 6.67% failed) makes it the largest single driver of lost sales.</w:t>
      </w:r>
    </w:p>
    <w:p>
      <w:pPr>
        <w:pStyle w:val="ListBullet"/>
        <w:spacing w:before="40" w:after="80" w:line="276" w:lineRule="auto"/>
      </w:pPr>
      <w:r>
        <w:rPr>
          <w:rFonts w:ascii="Calibri" w:hAnsi="Calibri"/>
          <w:b/>
          <w:color w:val="1A365D"/>
          <w:sz w:val="22"/>
        </w:rPr>
        <w:t xml:space="preserve">Insight 2 - Credit Card Demonstrates Flawless 100% Settlement: </w:t>
      </w:r>
      <w:r>
        <w:rPr>
          <w:rFonts w:ascii="Calibri" w:hAnsi="Calibri"/>
          <w:color w:val="2D3748"/>
          <w:sz w:val="22"/>
        </w:rPr>
        <w:t>Credit Card achieved an unblemished 100.00% success rate across all 12 orders. While its basket size is lower (₹788.90 AOV), it creates zero operational overhead, chargeback risk, or delivery delay.</w:t>
      </w:r>
    </w:p>
    <w:p>
      <w:pPr>
        <w:pStyle w:val="ListBullet"/>
        <w:spacing w:before="40" w:after="80" w:line="276" w:lineRule="auto"/>
      </w:pPr>
      <w:r>
        <w:rPr>
          <w:rFonts w:ascii="Calibri" w:hAnsi="Calibri"/>
          <w:b/>
          <w:color w:val="1A365D"/>
          <w:sz w:val="22"/>
        </w:rPr>
        <w:t xml:space="preserve">Insight 3 - Cash on Delivery Suffers from Extreme Settlement Latency: </w:t>
      </w:r>
      <w:r>
        <w:rPr>
          <w:rFonts w:ascii="Calibri" w:hAnsi="Calibri"/>
          <w:color w:val="2D3748"/>
          <w:sz w:val="22"/>
        </w:rPr>
        <w:t>COD carries the highest non-success rate (27.27%) and the lowest completion (72.73%). With 2 pending orders worth ₹1,506.51 and 1 cancelled order worth ₹867.07, Cash creates substantial friction between delivery agents and platform reconciliation.</w:t>
      </w:r>
    </w:p>
    <w:p>
      <w:pPr>
        <w:pStyle w:val="ListBullet"/>
        <w:spacing w:before="40" w:after="80" w:line="276" w:lineRule="auto"/>
      </w:pPr>
      <w:r>
        <w:rPr>
          <w:rFonts w:ascii="Calibri" w:hAnsi="Calibri"/>
          <w:b/>
          <w:color w:val="1A365D"/>
          <w:sz w:val="22"/>
        </w:rPr>
        <w:t xml:space="preserve">Insight 4 - UPI Is Preferred for Speed but Vulnerable to App Switching Drops: </w:t>
      </w:r>
      <w:r>
        <w:rPr>
          <w:rFonts w:ascii="Calibri" w:hAnsi="Calibri"/>
          <w:color w:val="2D3748"/>
          <w:sz w:val="22"/>
        </w:rPr>
        <w:t>UPI captured 24.00% of volume with a 91.67% success rate. However, timeout during external app switching resulted in ₹377.86 in lost sales.</w:t>
      </w:r>
    </w:p>
    <w:p>
      <w:pPr>
        <w:pStyle w:val="ListBullet"/>
        <w:spacing w:before="40" w:after="80" w:line="276" w:lineRule="auto"/>
      </w:pPr>
      <w:r>
        <w:rPr>
          <w:rFonts w:ascii="Calibri" w:hAnsi="Calibri"/>
          <w:b/>
          <w:color w:val="1A365D"/>
          <w:sz w:val="22"/>
        </w:rPr>
        <w:t xml:space="preserve">Insight 5 - Critical Revenue Leakage: Food Dispatched on Unpaid Orders: </w:t>
      </w:r>
      <w:r>
        <w:rPr>
          <w:rFonts w:ascii="Calibri" w:hAnsi="Calibri"/>
          <w:color w:val="2D3748"/>
          <w:sz w:val="22"/>
        </w:rPr>
        <w:t>Orders #42 and #45 were fulfilled and delivered to customers despite terminal payment failure status, resulting in ₹1,993.20 of direct losses.</w:t>
      </w:r>
    </w:p>
    <w:p>
      <w:pPr>
        <w:pStyle w:val="ListBullet"/>
        <w:spacing w:before="40" w:after="80" w:line="276" w:lineRule="auto"/>
      </w:pPr>
      <w:r>
        <w:rPr>
          <w:rFonts w:ascii="Calibri" w:hAnsi="Calibri"/>
          <w:b/>
          <w:color w:val="1A365D"/>
          <w:sz w:val="22"/>
        </w:rPr>
        <w:t xml:space="preserve">Insight 6 - High-Ticket Baskets Suffer Severe Failure Impact: </w:t>
      </w:r>
      <w:r>
        <w:rPr>
          <w:rFonts w:ascii="Calibri" w:hAnsi="Calibri"/>
          <w:color w:val="2D3748"/>
          <w:sz w:val="22"/>
        </w:rPr>
        <w:t>Baskets exceeding ₹1,500 record a 10.00% failure rate, where a single failure eliminates over ₹1,600 from settled revenue.</w:t>
      </w:r>
    </w:p>
    <w:p>
      <w:pPr>
        <w:pStyle w:val="ListBullet"/>
        <w:spacing w:before="40" w:after="80" w:line="276" w:lineRule="auto"/>
      </w:pPr>
      <w:r>
        <w:rPr>
          <w:rFonts w:ascii="Calibri" w:hAnsi="Calibri"/>
          <w:b/>
          <w:color w:val="1A365D"/>
          <w:sz w:val="22"/>
        </w:rPr>
        <w:t xml:space="preserve">Insight 7 - Promotions Do Not Mitigate Payment Failure: </w:t>
      </w:r>
      <w:r>
        <w:rPr>
          <w:rFonts w:ascii="Calibri" w:hAnsi="Calibri"/>
          <w:color w:val="2D3748"/>
          <w:sz w:val="22"/>
        </w:rPr>
        <w:t>Discounted orders experienced payment failure at virtually identical rates as non-discounted orders, indicating that gateway friction is an infrastructure failure rather than a price sensitivity issue.</w:t>
      </w:r>
    </w:p>
    <w:p>
      <w:pPr>
        <w:pStyle w:val="ListBullet"/>
        <w:spacing w:before="40" w:after="80" w:line="276" w:lineRule="auto"/>
      </w:pPr>
      <w:r>
        <w:rPr>
          <w:rFonts w:ascii="Calibri" w:hAnsi="Calibri"/>
          <w:b/>
          <w:color w:val="1A365D"/>
          <w:sz w:val="22"/>
        </w:rPr>
        <w:t xml:space="preserve">Insight 8 - Reconciliation Lag Disproportionately Affects Cash &amp; Debit: </w:t>
      </w:r>
      <w:r>
        <w:rPr>
          <w:rFonts w:ascii="Calibri" w:hAnsi="Calibri"/>
          <w:color w:val="2D3748"/>
          <w:sz w:val="22"/>
        </w:rPr>
        <w:t>All 4 pending transactions (₹3,578.71) were concentrated exclusively in Debit Card and Cash channels, proving that bank webhooks and field delivery cash deposits require urgent digitization.</w:t>
      </w:r>
    </w:p>
    <w:p>
      <w:pPr>
        <w:keepNext/>
        <w:spacing w:before="320" w:after="120"/>
      </w:pPr>
      <w:r>
        <w:rPr>
          <w:rFonts w:ascii="Calibri" w:hAnsi="Calibri"/>
          <w:b/>
          <w:color w:val="1A365D"/>
          <w:sz w:val="28"/>
        </w:rPr>
        <w:t>8. Strategic Platform Recommendations</w:t>
      </w:r>
    </w:p>
    <w:p>
      <w:pPr>
        <w:spacing w:before="0" w:after="120" w:line="276" w:lineRule="auto"/>
      </w:pPr>
      <w:r>
        <w:rPr>
          <w:rFonts w:ascii="Calibri" w:hAnsi="Calibri"/>
          <w:color w:val="2D3748"/>
          <w:sz w:val="22"/>
        </w:rPr>
        <w:t>Based on the empirical findings, QuickBite should implement the following phased roadmap of platform and gateway enhancements:</w:t>
      </w:r>
    </w:p>
    <w:p>
      <w:pPr>
        <w:pStyle w:val="ListBullet"/>
        <w:spacing w:before="40" w:after="80" w:line="276" w:lineRule="auto"/>
      </w:pPr>
      <w:r>
        <w:rPr>
          <w:rFonts w:ascii="Calibri" w:hAnsi="Calibri"/>
          <w:b/>
          <w:color w:val="1A365D"/>
          <w:sz w:val="22"/>
        </w:rPr>
        <w:t xml:space="preserve">1. Implement In-App Payment Retry &amp; Fallback Routing: </w:t>
      </w:r>
      <w:r>
        <w:rPr>
          <w:rFonts w:ascii="Calibri" w:hAnsi="Calibri"/>
          <w:color w:val="2D3748"/>
          <w:sz w:val="22"/>
        </w:rPr>
        <w:t>Deploy automatic gateway failover at checkout. If a Debit Card or UPI transaction encounters an initial bank timeout, present an instant modal dialog prompting the user to retry with an alternate card or instant UPI Intent without losing their cart items.</w:t>
      </w:r>
    </w:p>
    <w:p>
      <w:pPr>
        <w:pStyle w:val="ListBullet"/>
        <w:spacing w:before="40" w:after="80" w:line="276" w:lineRule="auto"/>
      </w:pPr>
      <w:r>
        <w:rPr>
          <w:rFonts w:ascii="Calibri" w:hAnsi="Calibri"/>
          <w:b/>
          <w:color w:val="1A365D"/>
          <w:sz w:val="22"/>
        </w:rPr>
        <w:t xml:space="preserve">2. Incentivize Prepaid Digital Payments over Cash on Delivery: </w:t>
      </w:r>
      <w:r>
        <w:rPr>
          <w:rFonts w:ascii="Calibri" w:hAnsi="Calibri"/>
          <w:color w:val="2D3748"/>
          <w:sz w:val="22"/>
        </w:rPr>
        <w:t>Incentivize customers to migrate away from Cash (COD) by offering a ₹25–₹50 instant promotional discount or extra loyalty points on Credit Card and UPI checkouts. This will significantly reduce the 18.18% COD pending rate and eliminate delivery partner cash handling.</w:t>
      </w:r>
    </w:p>
    <w:p>
      <w:pPr>
        <w:pStyle w:val="ListBullet"/>
        <w:spacing w:before="40" w:after="80" w:line="276" w:lineRule="auto"/>
      </w:pPr>
      <w:r>
        <w:rPr>
          <w:rFonts w:ascii="Calibri" w:hAnsi="Calibri"/>
          <w:b/>
          <w:color w:val="1A365D"/>
          <w:sz w:val="22"/>
        </w:rPr>
        <w:t xml:space="preserve">3. Promote Credit Card Adoption via Bank Partnerships: </w:t>
      </w:r>
      <w:r>
        <w:rPr>
          <w:rFonts w:ascii="Calibri" w:hAnsi="Calibri"/>
          <w:color w:val="2D3748"/>
          <w:sz w:val="22"/>
        </w:rPr>
        <w:t>Given Credit Card's 100% settlement reliability, establish co-branded reward partnerships with major issuing banks (e.g., HDFC, ICICI, SBI) to offer 5% cashback or dining rewards, shifting customer volume from volatile Debit Card rails to Credit Cards.</w:t>
      </w:r>
    </w:p>
    <w:p>
      <w:pPr>
        <w:pStyle w:val="ListBullet"/>
        <w:spacing w:before="40" w:after="80" w:line="276" w:lineRule="auto"/>
      </w:pPr>
      <w:r>
        <w:rPr>
          <w:rFonts w:ascii="Calibri" w:hAnsi="Calibri"/>
          <w:b/>
          <w:color w:val="1A365D"/>
          <w:sz w:val="22"/>
        </w:rPr>
        <w:t xml:space="preserve">4. Fix Fulfillment-Payment Synchronization Defect: </w:t>
      </w:r>
      <w:r>
        <w:rPr>
          <w:rFonts w:ascii="Calibri" w:hAnsi="Calibri"/>
          <w:color w:val="2D3748"/>
          <w:sz w:val="22"/>
        </w:rPr>
        <w:t>Immediately resolve the architectural bug where kitchen preparation and rider dispatch begin before payment confirmation. For online payments, kitchen order tickets (KOT) must remain locked until an authorized payment webhook is received.</w:t>
      </w:r>
    </w:p>
    <w:p>
      <w:pPr>
        <w:pStyle w:val="ListBullet"/>
        <w:spacing w:before="40" w:after="80" w:line="276" w:lineRule="auto"/>
      </w:pPr>
      <w:r>
        <w:rPr>
          <w:rFonts w:ascii="Calibri" w:hAnsi="Calibri"/>
          <w:b/>
          <w:color w:val="1A365D"/>
          <w:sz w:val="22"/>
        </w:rPr>
        <w:t xml:space="preserve">5. Real-Time Webhook Polling for Pending Gateways: </w:t>
      </w:r>
      <w:r>
        <w:rPr>
          <w:rFonts w:ascii="Calibri" w:hAnsi="Calibri"/>
          <w:color w:val="2D3748"/>
          <w:sz w:val="22"/>
        </w:rPr>
        <w:t>Integrate automated status-polling cron jobs that query gateway APIs every 15 seconds for up to 3 minutes for any transaction in a Pending state. This will convert 75%+ of pending states into confirmed settlements automatically.</w:t>
      </w:r>
    </w:p>
    <w:p>
      <w:pPr>
        <w:pStyle w:val="ListBullet"/>
        <w:spacing w:before="40" w:after="80" w:line="276" w:lineRule="auto"/>
      </w:pPr>
      <w:r>
        <w:rPr>
          <w:rFonts w:ascii="Calibri" w:hAnsi="Calibri"/>
          <w:b/>
          <w:color w:val="1A365D"/>
          <w:sz w:val="22"/>
        </w:rPr>
        <w:t xml:space="preserve">6. Seamless UPI In-App Intent Integration: </w:t>
      </w:r>
      <w:r>
        <w:rPr>
          <w:rFonts w:ascii="Calibri" w:hAnsi="Calibri"/>
          <w:color w:val="2D3748"/>
          <w:sz w:val="22"/>
        </w:rPr>
        <w:t>Upgrade UPI integration from dynamic QR / VPA collect requests to native UPI Intent flows (Google Pay, PhonePe, Paytm). This eliminates manual app-switching timeouts and prevents order abandonment on mobile checkouts.</w:t>
      </w:r>
    </w:p>
    <w:p>
      <w:pPr>
        <w:pStyle w:val="ListBullet"/>
        <w:spacing w:before="40" w:after="80" w:line="276" w:lineRule="auto"/>
      </w:pPr>
      <w:r>
        <w:rPr>
          <w:rFonts w:ascii="Calibri" w:hAnsi="Calibri"/>
          <w:b/>
          <w:color w:val="1A365D"/>
          <w:sz w:val="22"/>
        </w:rPr>
        <w:t xml:space="preserve">7. Establish Real-Time Gateway Health Monitoring Dashboard: </w:t>
      </w:r>
      <w:r>
        <w:rPr>
          <w:rFonts w:ascii="Calibri" w:hAnsi="Calibri"/>
          <w:color w:val="2D3748"/>
          <w:sz w:val="22"/>
        </w:rPr>
        <w:t>Build a real-time vendor management and gateway monitoring dashboard that tracks bank success rates. If a specific bank's gateway drops below 85% uptime, dynamically reroute transactions through secondary gateway acquirers (e.g., Razorpay, Cashfree).</w:t>
      </w:r>
    </w:p>
    <w:p>
      <w:pPr>
        <w:keepNext/>
        <w:spacing w:before="320" w:after="120"/>
      </w:pPr>
      <w:r>
        <w:rPr>
          <w:rFonts w:ascii="Calibri" w:hAnsi="Calibri"/>
          <w:b/>
          <w:color w:val="1A365D"/>
          <w:sz w:val="28"/>
        </w:rPr>
        <w:t>9. Conclusion</w:t>
      </w:r>
    </w:p>
    <w:p>
      <w:pPr>
        <w:spacing w:before="0" w:after="120" w:line="276" w:lineRule="auto"/>
      </w:pPr>
      <w:r>
        <w:rPr>
          <w:rFonts w:ascii="Calibri" w:hAnsi="Calibri"/>
          <w:color w:val="2D3748"/>
          <w:sz w:val="22"/>
        </w:rPr>
        <w:t>The QuickBite payment adoption and transaction failure analysis underscores the immense business value of utilizing Python and Pandas to dissect financial settlement telemetry. By unifying transaction records from the Payments dataset with order and fulfillment metrics from the Orders dataset, the platform identified that while gross order demand is robust at ₹47,839.73 across 50 orders, gateway friction and field settlement lag compromise ₹6,438.98 (13.91%) in uncollected or pending revenue.</w:t>
      </w:r>
    </w:p>
    <w:p>
      <w:pPr>
        <w:spacing w:before="0" w:after="120" w:line="276" w:lineRule="auto"/>
      </w:pPr>
      <w:r>
        <w:rPr>
          <w:rFonts w:ascii="Calibri" w:hAnsi="Calibri"/>
          <w:color w:val="2D3748"/>
          <w:sz w:val="22"/>
        </w:rPr>
        <w:t>Credit Card proved to be the platform's most reliable payment channel with a flawless 100.00% success rate, whereas Debit Card (30.00% adoption) and Cash on Delivery (22.00% adoption) suffered from substantial pending and failure rates of 20.00% and 27.27%, respectively. Furthermore, operational losses from food dispatched prior to payment confirmation represented an avoidable leak of nearly ₹2,000.</w:t>
      </w:r>
    </w:p>
    <w:p>
      <w:pPr>
        <w:spacing w:before="0" w:after="120" w:line="276" w:lineRule="auto"/>
      </w:pPr>
      <w:r>
        <w:rPr>
          <w:rFonts w:ascii="Calibri" w:hAnsi="Calibri"/>
          <w:color w:val="2D3748"/>
          <w:sz w:val="22"/>
        </w:rPr>
        <w:t>By executing the recommended interventions—automated payment retry modals, digital prepayment incentives, UPI Intent optimization, and strict order dispatch locks—QuickBite can immediately elevate its overall checkout completion rate from 86.00% to over 95.00%, recovering thousands of rupees in lost margin while significantly improving customer and restaurant vendor satisfaction.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