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94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880" w:firstLineChars="200"/>
        <w:jc w:val="center"/>
        <w:textAlignment w:val="auto"/>
        <w:rPr>
          <w:rFonts w:hint="eastAsia" w:ascii="Calibri" w:hAnsi="Calibri" w:eastAsia="方正小标宋简体" w:cs="Times New Roman"/>
          <w:bCs/>
          <w:kern w:val="2"/>
          <w:sz w:val="44"/>
          <w:szCs w:val="32"/>
          <w:lang w:val="en-US" w:eastAsia="zh-CN" w:bidi="ar-SA"/>
        </w:rPr>
      </w:pPr>
      <w:r>
        <w:rPr>
          <w:rFonts w:hint="eastAsia" w:ascii="Calibri" w:hAnsi="Calibri" w:eastAsia="方正小标宋简体" w:cs="Times New Roman"/>
          <w:bCs/>
          <w:kern w:val="2"/>
          <w:sz w:val="44"/>
          <w:szCs w:val="32"/>
          <w:lang w:val="en-US" w:eastAsia="zh-CN" w:bidi="ar-SA"/>
        </w:rPr>
        <w:t>科创集团AI+数据综合管理服务平台</w:t>
      </w:r>
    </w:p>
    <w:p w14:paraId="7197D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880" w:firstLineChars="200"/>
        <w:jc w:val="center"/>
        <w:textAlignment w:val="auto"/>
        <w:rPr>
          <w:rFonts w:hint="eastAsia" w:ascii="Calibri" w:hAnsi="Calibri" w:eastAsia="方正小标宋简体" w:cs="Times New Roman"/>
          <w:bCs/>
          <w:kern w:val="2"/>
          <w:sz w:val="44"/>
          <w:szCs w:val="32"/>
          <w:lang w:val="en-US" w:eastAsia="zh-CN" w:bidi="ar-SA"/>
        </w:rPr>
      </w:pPr>
      <w:r>
        <w:rPr>
          <w:rFonts w:hint="eastAsia" w:ascii="Calibri" w:hAnsi="Calibri" w:eastAsia="方正小标宋简体" w:cs="Times New Roman"/>
          <w:bCs/>
          <w:kern w:val="2"/>
          <w:sz w:val="44"/>
          <w:szCs w:val="32"/>
          <w:lang w:val="en-US" w:eastAsia="zh-CN" w:bidi="ar-SA"/>
        </w:rPr>
        <w:t>需求书</w:t>
      </w:r>
    </w:p>
    <w:p w14:paraId="44D3062E">
      <w:pPr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atLeast"/>
        <w:ind w:firstLine="643" w:firstLineChars="200"/>
        <w:jc w:val="center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</w:p>
    <w:p w14:paraId="2FE70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0"/>
        <w:rPr>
          <w:rFonts w:hint="eastAsia" w:ascii="黑体" w:eastAsia="黑体" w:cs="黑体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黑体" w:eastAsia="黑体" w:cs="黑体" w:hAnsiTheme="minorHAnsi"/>
          <w:color w:val="auto"/>
          <w:kern w:val="0"/>
          <w:sz w:val="32"/>
          <w:szCs w:val="32"/>
          <w:lang w:eastAsia="zh-CN"/>
        </w:rPr>
        <w:t>一、项目概述</w:t>
      </w:r>
    </w:p>
    <w:p w14:paraId="582E4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本项目旨在建设集团级数据资源共享服务平台，并通过AI能力加持，实现数据的分析、预警推送，解决当前信息分散、人工响应滞后、数据利用不足等突出问题，实现跨业务信息互通、风险自动预警和经营辅助决策。主要有以下核心建设目标：</w:t>
      </w:r>
    </w:p>
    <w:p w14:paraId="1A620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——AI+自动化预警。建立覆盖试点领域的自动化预警机制，将风险信息从事件发生到管理人获知的延迟从数小时/数天压缩至小时级。</w:t>
      </w:r>
    </w:p>
    <w:p w14:paraId="1AE74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——AI+信息推送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管控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。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一是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不同岗位和级别的用户只能访问其授权范围内的数据和功能。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二是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即时预警信息实时推送、日报每日定时推送、周报每周自动汇总、月报定期生成。</w:t>
      </w:r>
    </w:p>
    <w:p w14:paraId="1D875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——AI+自然语言辅助查询。支持管理者以日常口语方式直接提问获取信息。</w:t>
      </w:r>
    </w:p>
    <w:p w14:paraId="17C1E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——主数据治理达标率95%。建立统一的主数据，包含但不限于组织、人员、账户、供应商、项目等，消除差异。</w:t>
      </w:r>
    </w:p>
    <w:p w14:paraId="4DC5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——业务数据接入率不低于80%。指集团已建设业务系统或待建设系统的业务数据。</w:t>
      </w:r>
    </w:p>
    <w:p w14:paraId="7EDFC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——试点场景建设完成。选取会议纪要与督查督办联动、安全生产、产业投资与行业洞察等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个应用场景。</w:t>
      </w:r>
    </w:p>
    <w:p w14:paraId="3E987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0"/>
        <w:rPr>
          <w:rFonts w:hint="eastAsia" w:ascii="黑体" w:eastAsia="黑体" w:cs="黑体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黑体" w:eastAsia="黑体" w:cs="黑体" w:hAnsiTheme="minorHAnsi"/>
          <w:color w:val="auto"/>
          <w:kern w:val="0"/>
          <w:sz w:val="32"/>
          <w:szCs w:val="32"/>
          <w:lang w:val="en-US" w:eastAsia="zh-CN"/>
        </w:rPr>
        <w:t>二、</w:t>
      </w:r>
      <w:r>
        <w:rPr>
          <w:rFonts w:hint="eastAsia" w:ascii="黑体" w:eastAsia="黑体" w:cs="黑体" w:hAnsiTheme="minorHAnsi"/>
          <w:color w:val="auto"/>
          <w:kern w:val="0"/>
          <w:sz w:val="32"/>
          <w:szCs w:val="32"/>
          <w:lang w:eastAsia="zh-CN"/>
        </w:rPr>
        <w:t>建设任务</w:t>
      </w:r>
    </w:p>
    <w:p w14:paraId="518BC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1"/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  <w:t>（一）数据采集</w:t>
      </w:r>
    </w:p>
    <w:p w14:paraId="3D076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1.数据报送平台：建设统一的数据报送入口，支持Web端和移动端填报，覆盖试点领域的业务数据采集需求，支持多级组织（集团本部、各子集团、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各三级公司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）的数据报送和审核流程。</w:t>
      </w:r>
    </w:p>
    <w:p w14:paraId="1A7D2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2.现有系统对接：对接集团现有业务系统，包括OA系统、财务系统、人力系统、合同系统、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招采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系统、督办管理系统、投资管理系统，实现数据的自动汇聚。</w:t>
      </w:r>
    </w:p>
    <w:p w14:paraId="6CB96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1"/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  <w:t>（二）数据治理</w:t>
      </w:r>
    </w:p>
    <w:p w14:paraId="6D35A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建设数据管理平台，制定统一的数据标准和规范，对采集和接入的各类数据进行清洗、校验、标准化处理和质量监控。建立元数据管理体系，实现多源数据的统一治理，形成可支撑上层业务应用的数据底座。最终实现以下数据治理效果：</w:t>
      </w:r>
    </w:p>
    <w:p w14:paraId="6FD00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——主数据治理。完成科创集团现有信息化系统的组织、人员、账户、供应商等主数据治理，全域统一。</w:t>
      </w:r>
    </w:p>
    <w:p w14:paraId="51747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——业务数据接入。完成科创集团现有信息化系统业务数据治理及接入。</w:t>
      </w:r>
    </w:p>
    <w:p w14:paraId="2EC36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1"/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  <w:t>（三）AI能力规划</w:t>
      </w:r>
    </w:p>
    <w:p w14:paraId="443A8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default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围绕试点领域，建设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具备可持续扩展的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AI应用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能力，可支撑用户持续开展新场景建设。主要功能预设如下：</w:t>
      </w:r>
    </w:p>
    <w:p w14:paraId="35F08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1.自动化提醒与预警推送：基于预设规则和阈值，自动识别逾期、超标、超期等异常情况，按严重程度分级向责任人推送提醒和预警信息。</w:t>
      </w:r>
    </w:p>
    <w:p w14:paraId="48E7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.自动报表生成：预设日报、周报、月报模板，系统按设定时间自动提取数据生成报表并推送至指定人员。</w:t>
      </w:r>
    </w:p>
    <w:p w14:paraId="11B4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.智能问答与辅助查询：支持管理者以自然语言提问方式查询业务数据，系统理解问题意图后返回数据和解读。</w:t>
      </w:r>
    </w:p>
    <w:p w14:paraId="2E17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.综合业务看板：一屏总览试点领域的核心运营指标，支持数据下钻查看详情。</w:t>
      </w:r>
    </w:p>
    <w:p w14:paraId="05A81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.信息智能提取：支持从非结构化文档（会议记录、报告等）中自动提取关键信息，生成结构化数据。</w:t>
      </w:r>
    </w:p>
    <w:p w14:paraId="5882C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.数据分级分类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及审计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管控。系统应支持数据分级分类管理，根据数据敏感程度（公开、内部、敏感、机密）设定不同的访问控制和加密策略。支持权限控制体系，不同岗位和级别的用户只能访问其授权范围内的数据和功能。对所有数据操作（查询、修改、导出、删除等）进行日志记录，日志不可篡改，支持事后审计追溯。</w:t>
      </w:r>
    </w:p>
    <w:p w14:paraId="535D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1"/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  <w:t>（四）场景建设</w:t>
      </w:r>
    </w:p>
    <w:p w14:paraId="63AB3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围绕集团重点业务领域，将AI能力落地到具体业务流程中。按照业务管理特点划分为信息治理类、风险监控类、经营管控类三个业务主题，覆盖会议纪要与督查督办联动、安全生产、工程项目、投资分析、经营分析、产业投资与行业洞察等试点场景。</w:t>
      </w:r>
    </w:p>
    <w:p w14:paraId="307B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3" w:firstLineChars="200"/>
        <w:jc w:val="left"/>
        <w:textAlignment w:val="auto"/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  <w:t>1.信息治理类</w:t>
      </w:r>
    </w:p>
    <w:p w14:paraId="4BE2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（1）会议纪要与督查督办联动</w:t>
      </w:r>
    </w:p>
    <w:p w14:paraId="09A36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场景背景：集团重要会议纪要目前主要通过OA系统审批发布并以抄送方式同步给相关人员，接收人员由发起人手工选择，纪要关键信息容易淹没在大量OA消息中，且缺乏对纪要要点的结构化提炼。更重要的是，纪要中形成的重点工作部署和任务安排，往往需人工二次录入督查督办系统才能进入跟踪流程，会议决策与执行跟踪之间存在断点。集团已建设督查督办信息化系统，完成线上数据报送和状态管理，覆盖督办类型、事项名称、任务分解、本周进展、办结时限、分管领导、责任单位、红黄绿牌状态等信息，但超期预警仍依赖人工关注，督查周报需人工汇总。</w:t>
      </w:r>
    </w:p>
    <w:p w14:paraId="78DF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AI应用方式：</w:t>
      </w:r>
    </w:p>
    <w:p w14:paraId="14C1C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——信息智能提取。系统从会议纪要文档中自动提取核心决议、工作任务、责任领导、完成时限等关键要点，生成结构化摘要，替代人工逐篇阅读提炼。</w:t>
      </w:r>
    </w:p>
    <w:p w14:paraId="3372E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——任务自动转入督查督办。提炼出的工作任务自动生成督查督办事项并转入督查督办系统，打通“会议决策—任务分解—执行跟踪”闭环，消除人工二次录入环节。</w:t>
      </w:r>
    </w:p>
    <w:p w14:paraId="03AFC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化提醒与推送。根据纪要内容智能匹配需要知晓的相关人员，实现精准推送而非全员抄送；同时基于督查督办系统已有数据，按办结时限自动监测任务进度，临期前向负责人推送提醒，逾期后自动升级推送至分管领导，并自动评定红黄绿牌状态。</w:t>
      </w:r>
    </w:p>
    <w:p w14:paraId="56CC0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——综合业务看板。建设督办事项总览看板，按督办类型、责任单位、红黄绿牌状态等维度展示，并关联纪要来源，一目了然掌握整体督办态势。</w:t>
      </w:r>
    </w:p>
    <w:p w14:paraId="6E070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——自动报表生成。每周自动汇总各督办事项进展，生成督查周报推送至集团领导，替代人工逐项收集和汇总。</w:t>
      </w:r>
    </w:p>
    <w:p w14:paraId="4BB1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——智能问答。支持“某次会议部署了哪些任务”“本月哪些督办事项超期了”“某事项最新进展如何”等自然语言查询。</w:t>
      </w:r>
    </w:p>
    <w:p w14:paraId="6C292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典型业务流程：会议结束→OA审批发布纪要→AI提取关键要点并生成摘要→提炼任务自动转入督查督办系统→按办结时限自动监测进度并评定红黄绿牌→精准推送至相关人员及责任人→每周自动生成督查周报→领导查看看板决策。</w:t>
      </w:r>
    </w:p>
    <w:p w14:paraId="06BA2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预期效果：纪要关键信息从淹没在OA消息中变为精准推送；要点提炼从人工阅读总结缩短至自动生成；会议纪要任务从手工二次录入变为自动转入督查督办，形成“会议决策—执行跟踪”闭环；督查周报从人工汇总2小时缩短至自动生成；督办态势从逐项查询变为看板总览。</w:t>
      </w:r>
    </w:p>
    <w:p w14:paraId="1A150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3" w:firstLineChars="200"/>
        <w:jc w:val="left"/>
        <w:textAlignment w:val="auto"/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  <w:t>2.风险监控类</w:t>
      </w:r>
    </w:p>
    <w:p w14:paraId="003E0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（1）安全生产管理</w:t>
      </w:r>
    </w:p>
    <w:p w14:paraId="2E8DF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场景背景：集团目前安全隐患排查整改依赖Excel台账手工登记管理，整改超期靠人工跟踪，跨项目安全态势无法横向对比。本场景同时覆盖防尘、高温、消防、防汛、复工复产等专项检查领域，统一纳入监测与预警。</w:t>
      </w:r>
    </w:p>
    <w:p w14:paraId="3C416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AI应用方式：</w:t>
      </w:r>
    </w:p>
    <w:p w14:paraId="2011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——自动化预警推送。基于数据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报送系统数据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，按整改时限自动跟踪，到期前提醒整改责任人，逾期后逐级升级推送至项目安全负责人和集团分管领导。对重大隐患即时推送预警。</w:t>
      </w:r>
    </w:p>
    <w:p w14:paraId="3222B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——综合业务看板。按项目、隐患类型、整改完成率等维度生成安全态势看板，支持从集团总览逐级下钻到项目、具体隐患条目。</w:t>
      </w:r>
    </w:p>
    <w:p w14:paraId="0ECD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——自动报表生成。按月自动生成安全隐患排查整改报告，包含隐患数量趋势、整改完成率、高发问题分析、各项目排名等。</w:t>
      </w:r>
    </w:p>
    <w:p w14:paraId="3185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——智能问答。支持“本月某项目新增隐患多少条”“哪些项目整改完成率最低”“消防类隐患占比多少”等自然语言查询。</w:t>
      </w:r>
    </w:p>
    <w:p w14:paraId="7B7F0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典型业务流程：巡检发现隐患→手工填报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数据报送系统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→设定整改责任人和时限→系统按时限跟踪提醒→整改完成后录入闭环→看板和月报自动生成→领导查看态势。</w:t>
      </w:r>
    </w:p>
    <w:p w14:paraId="78478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预期效果：整改超期率显著降低；安全隐患月报从人工统计3天缩短至自动生成；跨项目安全态势从无法对比变为实时看板。</w:t>
      </w:r>
    </w:p>
    <w:p w14:paraId="084E0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3" w:firstLineChars="200"/>
        <w:jc w:val="left"/>
        <w:textAlignment w:val="auto"/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  <w:t>3.经营管控类</w:t>
      </w:r>
    </w:p>
    <w:p w14:paraId="27DEE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3" w:firstLineChars="200"/>
        <w:jc w:val="left"/>
        <w:textAlignment w:val="auto"/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  <w:t>（</w:t>
      </w: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 w:cs="仿宋_GB2312" w:hAnsiTheme="minorHAnsi"/>
          <w:b/>
          <w:bCs/>
          <w:color w:val="auto"/>
          <w:kern w:val="0"/>
          <w:sz w:val="32"/>
          <w:szCs w:val="32"/>
          <w:lang w:eastAsia="zh-CN"/>
        </w:rPr>
        <w:t>）产业投资与行业洞察</w:t>
      </w:r>
    </w:p>
    <w:p w14:paraId="2F72F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场景背景：集团旗下产业投资板块定位为区域“产业升级与动能转换的核心引擎”，以区龙头产业为引领、以高标准运营科技产业社区为抓手，致力于区龙头产业延链补链、新兴产业培育壮大、未来产业前瞻布局，“资本运作+实体经营”双管齐下，构建具有竞争力的“3+3+1”产业集群。在产业投资、招商运营与集群建设中，需对拟引入（意向）企业开展投资价值与风险研判，对重点行业开展趋势洞察，目前这类分析主要依赖人工搜集资料与经验判断，缺乏系统化数据支撑和持续跟踪。</w:t>
      </w:r>
    </w:p>
    <w:p w14:paraId="6D1F9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AI应用方式：</w:t>
      </w:r>
    </w:p>
    <w:p w14:paraId="36304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投资公司分析（引入公司分析）。基于企业工商、股权、融资、经营、知识产权等多源数据，AI自动生成拟引入/已投企业的投资分析报告，包含企业画像、资本运作能力、产业契合度、风险扫描等维度，辅助招商遴选与投资决策。</w:t>
      </w:r>
    </w:p>
    <w:p w14:paraId="388A6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——行业洞察与行业分析报告。AI围绕龙头产业、新兴产业、未来产业等重点方向，定期生成行业分析报告，涵盖产业链图谱、市场规模、竞争格局、政策动向、技术趋势等，支撑延链补链与前瞻布局决策。</w:t>
      </w:r>
    </w:p>
    <w:p w14:paraId="3D4C8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——综合业务看板。建设产业投资看板，一屏展示“3+3+1”产业集群布局、在投/意向企业分布、科技产业社区运营、重点行业跟踪等关键指标，支持下钻查看企业详情与行业明细。</w:t>
      </w:r>
    </w:p>
    <w:p w14:paraId="595EB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——智能问答。支持“某产业链上下游有哪些重点企业”“拟引入企业X的主要风险点在哪里”“某新兴产业最新政策动向”等自然语言查询。</w:t>
      </w:r>
    </w:p>
    <w:p w14:paraId="50F68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——自动化预警推送。对重点跟踪企业的股权冻结、经营异常、重大诉讼、负面舆情等风险事件，以及行业政策重大变化自动预警推送至产业投资团队与集团领导。</w:t>
      </w:r>
    </w:p>
    <w:p w14:paraId="35A4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——自动报表生成。定期生成产业投资分析报告、行业洞察月报，替代人工逐项搜集与编制。</w:t>
      </w:r>
    </w:p>
    <w:p w14:paraId="1C4E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典型业务流程：多渠道采集企业与行业数据→AI生成企业投资分析报告与行业洞察报告→重点企业与行业风险/政策变化自动预警→产业投资团队与领导通过看板与问答获取决策支撑。</w:t>
      </w:r>
    </w:p>
    <w:p w14:paraId="51DD0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预期效果：拟引入企业评估从经验判断变为数据驱动；行业洞察从季度人工梳理变为定期自动生成；产业投资决策从信息分散变为系统化、持续化支撑。</w:t>
      </w:r>
    </w:p>
    <w:p w14:paraId="2D851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1"/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楷体_GB2312" w:eastAsia="楷体_GB2312" w:cs="楷体_GB2312" w:hAnsiTheme="minorHAnsi"/>
          <w:color w:val="auto"/>
          <w:kern w:val="0"/>
          <w:sz w:val="32"/>
          <w:szCs w:val="32"/>
          <w:lang w:eastAsia="zh-CN"/>
        </w:rPr>
        <w:t>（五）基础设施与运维支持</w:t>
      </w:r>
    </w:p>
    <w:p w14:paraId="30F59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提供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项目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建设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所需的硬件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设备清单，包含AI服务器、应用服务器或其他所需资源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。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以及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系统上线后的运维保障、用户培训和日常技术支持。</w:t>
      </w:r>
      <w:bookmarkStart w:id="0" w:name="_GoBack"/>
      <w:bookmarkEnd w:id="0"/>
    </w:p>
    <w:p w14:paraId="64309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atLeas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br w:type="page"/>
      </w:r>
    </w:p>
    <w:p w14:paraId="02EA4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outlineLvl w:val="0"/>
        <w:rPr>
          <w:rFonts w:hint="eastAsia" w:ascii="黑体" w:eastAsia="黑体" w:cs="黑体" w:hAnsiTheme="minorHAnsi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黑体" w:eastAsia="黑体" w:cs="黑体" w:hAnsiTheme="minorHAnsi"/>
          <w:color w:val="auto"/>
          <w:kern w:val="0"/>
          <w:sz w:val="32"/>
          <w:szCs w:val="32"/>
          <w:lang w:val="en-US" w:eastAsia="zh-CN"/>
        </w:rPr>
        <w:t>三、采购内容清单</w:t>
      </w:r>
    </w:p>
    <w:p w14:paraId="72F2B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default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供应商需按以下分项提供详细报价：</w:t>
      </w:r>
    </w:p>
    <w:tbl>
      <w:tblPr>
        <w:tblStyle w:val="33"/>
        <w:tblW w:w="499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5726"/>
        <w:gridCol w:w="908"/>
        <w:gridCol w:w="1392"/>
      </w:tblGrid>
      <w:tr w14:paraId="7FC9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466" w:type="pct"/>
            <w:vAlign w:val="center"/>
          </w:tcPr>
          <w:p w14:paraId="4DF41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序号</w:t>
            </w:r>
          </w:p>
        </w:tc>
        <w:tc>
          <w:tcPr>
            <w:tcW w:w="3234" w:type="pct"/>
            <w:vAlign w:val="center"/>
          </w:tcPr>
          <w:p w14:paraId="1C068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报价项目</w:t>
            </w:r>
          </w:p>
        </w:tc>
        <w:tc>
          <w:tcPr>
            <w:tcW w:w="512" w:type="pct"/>
            <w:vAlign w:val="center"/>
          </w:tcPr>
          <w:p w14:paraId="2FF39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单位</w:t>
            </w:r>
          </w:p>
        </w:tc>
        <w:tc>
          <w:tcPr>
            <w:tcW w:w="786" w:type="pct"/>
            <w:vAlign w:val="center"/>
          </w:tcPr>
          <w:p w14:paraId="0E452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含税报价</w:t>
            </w:r>
          </w:p>
          <w:p w14:paraId="2A1313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（万元）</w:t>
            </w:r>
          </w:p>
        </w:tc>
      </w:tr>
      <w:tr w14:paraId="136CE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466" w:type="pct"/>
            <w:vAlign w:val="center"/>
          </w:tcPr>
          <w:p w14:paraId="40286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1</w:t>
            </w:r>
          </w:p>
        </w:tc>
        <w:tc>
          <w:tcPr>
            <w:tcW w:w="3234" w:type="pct"/>
            <w:vAlign w:val="center"/>
          </w:tcPr>
          <w:p w14:paraId="634D2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软件平台（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含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AI平台+数据报送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+数据中台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需提供平台功能清单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）</w:t>
            </w:r>
          </w:p>
        </w:tc>
        <w:tc>
          <w:tcPr>
            <w:tcW w:w="512" w:type="pct"/>
            <w:vAlign w:val="center"/>
          </w:tcPr>
          <w:p w14:paraId="5409E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套</w:t>
            </w:r>
          </w:p>
        </w:tc>
        <w:tc>
          <w:tcPr>
            <w:tcW w:w="786" w:type="pct"/>
            <w:vAlign w:val="center"/>
          </w:tcPr>
          <w:p w14:paraId="3958E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5FFF2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66" w:type="pct"/>
            <w:vAlign w:val="center"/>
          </w:tcPr>
          <w:p w14:paraId="5EA2A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2</w:t>
            </w:r>
          </w:p>
        </w:tc>
        <w:tc>
          <w:tcPr>
            <w:tcW w:w="3234" w:type="pct"/>
            <w:vAlign w:val="center"/>
          </w:tcPr>
          <w:p w14:paraId="7C32C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Ai场景定制开发</w:t>
            </w:r>
          </w:p>
        </w:tc>
        <w:tc>
          <w:tcPr>
            <w:tcW w:w="512" w:type="pct"/>
            <w:vAlign w:val="center"/>
          </w:tcPr>
          <w:p w14:paraId="63BAE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项</w:t>
            </w:r>
          </w:p>
        </w:tc>
        <w:tc>
          <w:tcPr>
            <w:tcW w:w="786" w:type="pct"/>
            <w:vAlign w:val="center"/>
          </w:tcPr>
          <w:p w14:paraId="1034F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1F9B7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466" w:type="pct"/>
            <w:vAlign w:val="center"/>
          </w:tcPr>
          <w:p w14:paraId="5FB25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3</w:t>
            </w:r>
          </w:p>
        </w:tc>
        <w:tc>
          <w:tcPr>
            <w:tcW w:w="3234" w:type="pct"/>
            <w:vAlign w:val="center"/>
          </w:tcPr>
          <w:p w14:paraId="49366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系统集成与对接</w:t>
            </w:r>
          </w:p>
        </w:tc>
        <w:tc>
          <w:tcPr>
            <w:tcW w:w="512" w:type="pct"/>
            <w:vAlign w:val="center"/>
          </w:tcPr>
          <w:p w14:paraId="7319B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项</w:t>
            </w:r>
          </w:p>
        </w:tc>
        <w:tc>
          <w:tcPr>
            <w:tcW w:w="786" w:type="pct"/>
            <w:vAlign w:val="center"/>
          </w:tcPr>
          <w:p w14:paraId="13898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7EA7A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466" w:type="pct"/>
            <w:vAlign w:val="center"/>
          </w:tcPr>
          <w:p w14:paraId="2280B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4</w:t>
            </w:r>
          </w:p>
        </w:tc>
        <w:tc>
          <w:tcPr>
            <w:tcW w:w="3234" w:type="pct"/>
            <w:vAlign w:val="center"/>
          </w:tcPr>
          <w:p w14:paraId="7A783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配套硬件（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含AI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服务器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及其他所需硬件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需提供设备明细清单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）</w:t>
            </w:r>
          </w:p>
        </w:tc>
        <w:tc>
          <w:tcPr>
            <w:tcW w:w="512" w:type="pct"/>
            <w:vAlign w:val="center"/>
          </w:tcPr>
          <w:p w14:paraId="0FF58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86" w:type="pct"/>
            <w:vAlign w:val="center"/>
          </w:tcPr>
          <w:p w14:paraId="55DADE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B047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466" w:type="pct"/>
            <w:vAlign w:val="center"/>
          </w:tcPr>
          <w:p w14:paraId="50B0F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5</w:t>
            </w:r>
          </w:p>
        </w:tc>
        <w:tc>
          <w:tcPr>
            <w:tcW w:w="3234" w:type="pct"/>
            <w:vAlign w:val="center"/>
          </w:tcPr>
          <w:p w14:paraId="2FFD3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实施服务（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含</w:t>
            </w: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部署/调试/培训/数据初始化）</w:t>
            </w:r>
          </w:p>
        </w:tc>
        <w:tc>
          <w:tcPr>
            <w:tcW w:w="512" w:type="pct"/>
            <w:vAlign w:val="center"/>
          </w:tcPr>
          <w:p w14:paraId="263B2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项</w:t>
            </w:r>
          </w:p>
        </w:tc>
        <w:tc>
          <w:tcPr>
            <w:tcW w:w="786" w:type="pct"/>
            <w:vAlign w:val="center"/>
          </w:tcPr>
          <w:p w14:paraId="575A5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38F52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</w:trPr>
        <w:tc>
          <w:tcPr>
            <w:tcW w:w="466" w:type="pct"/>
            <w:vAlign w:val="center"/>
          </w:tcPr>
          <w:p w14:paraId="4BD75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6</w:t>
            </w:r>
          </w:p>
        </w:tc>
        <w:tc>
          <w:tcPr>
            <w:tcW w:w="3234" w:type="pct"/>
            <w:vAlign w:val="center"/>
          </w:tcPr>
          <w:p w14:paraId="7E785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首年运维服务</w:t>
            </w:r>
          </w:p>
        </w:tc>
        <w:tc>
          <w:tcPr>
            <w:tcW w:w="512" w:type="pct"/>
            <w:vAlign w:val="center"/>
          </w:tcPr>
          <w:p w14:paraId="3CD93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年</w:t>
            </w:r>
          </w:p>
        </w:tc>
        <w:tc>
          <w:tcPr>
            <w:tcW w:w="786" w:type="pct"/>
            <w:vAlign w:val="center"/>
          </w:tcPr>
          <w:p w14:paraId="35573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6A439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466" w:type="pct"/>
            <w:vAlign w:val="center"/>
          </w:tcPr>
          <w:p w14:paraId="55E76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7</w:t>
            </w:r>
          </w:p>
        </w:tc>
        <w:tc>
          <w:tcPr>
            <w:tcW w:w="3234" w:type="pct"/>
            <w:vAlign w:val="center"/>
          </w:tcPr>
          <w:p w14:paraId="3999D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合计（首年）</w:t>
            </w:r>
          </w:p>
        </w:tc>
        <w:tc>
          <w:tcPr>
            <w:tcW w:w="512" w:type="pct"/>
            <w:vAlign w:val="center"/>
          </w:tcPr>
          <w:p w14:paraId="1DFAE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——</w:t>
            </w:r>
          </w:p>
        </w:tc>
        <w:tc>
          <w:tcPr>
            <w:tcW w:w="786" w:type="pct"/>
            <w:vAlign w:val="center"/>
          </w:tcPr>
          <w:p w14:paraId="122A8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7D8C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466" w:type="pct"/>
            <w:vAlign w:val="center"/>
          </w:tcPr>
          <w:p w14:paraId="2D5BA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8</w:t>
            </w:r>
          </w:p>
        </w:tc>
        <w:tc>
          <w:tcPr>
            <w:tcW w:w="3234" w:type="pct"/>
            <w:vAlign w:val="center"/>
          </w:tcPr>
          <w:p w14:paraId="31E4C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次年系统使用及运维费</w:t>
            </w:r>
          </w:p>
        </w:tc>
        <w:tc>
          <w:tcPr>
            <w:tcW w:w="512" w:type="pct"/>
            <w:vAlign w:val="center"/>
          </w:tcPr>
          <w:p w14:paraId="4AACE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年</w:t>
            </w:r>
          </w:p>
        </w:tc>
        <w:tc>
          <w:tcPr>
            <w:tcW w:w="786" w:type="pct"/>
            <w:vAlign w:val="center"/>
          </w:tcPr>
          <w:p w14:paraId="3B8FD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76496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466" w:type="pct"/>
            <w:vAlign w:val="center"/>
          </w:tcPr>
          <w:p w14:paraId="58E93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3234" w:type="pct"/>
            <w:vAlign w:val="center"/>
          </w:tcPr>
          <w:p w14:paraId="4C2A2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定制化开发人天单价</w:t>
            </w:r>
          </w:p>
        </w:tc>
        <w:tc>
          <w:tcPr>
            <w:tcW w:w="512" w:type="pct"/>
            <w:vAlign w:val="center"/>
          </w:tcPr>
          <w:p w14:paraId="5B1A6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sz w:val="28"/>
                <w:szCs w:val="28"/>
              </w:rPr>
              <w:t>人天</w:t>
            </w:r>
          </w:p>
        </w:tc>
        <w:tc>
          <w:tcPr>
            <w:tcW w:w="786" w:type="pct"/>
            <w:vAlign w:val="center"/>
          </w:tcPr>
          <w:p w14:paraId="2D8D2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atLeas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6C0B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1.报价应附材料：营业执照、法人授权书、相关资质证明并加盖公章。</w:t>
      </w:r>
    </w:p>
    <w:p w14:paraId="4AF69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.总价或单价已包含但不限于软件授权费、定制开发费、人工费、差旅费、税费及各项其他费用。</w:t>
      </w:r>
    </w:p>
    <w:p w14:paraId="73C11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 w:cs="仿宋_GB2312" w:hAnsiTheme="minorHAnsi"/>
          <w:color w:val="auto"/>
          <w:kern w:val="0"/>
          <w:sz w:val="32"/>
          <w:szCs w:val="32"/>
          <w:lang w:eastAsia="zh-CN"/>
        </w:rPr>
        <w:t>.请在分项报价单中填报次年系统使用费。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106"/>
    <w:rsid w:val="0029639D"/>
    <w:rsid w:val="00326F90"/>
    <w:rsid w:val="00AA1D8D"/>
    <w:rsid w:val="00B47730"/>
    <w:rsid w:val="00CB0664"/>
    <w:rsid w:val="00FC693F"/>
    <w:rsid w:val="020C58C5"/>
    <w:rsid w:val="039C6DC1"/>
    <w:rsid w:val="04966335"/>
    <w:rsid w:val="0845254C"/>
    <w:rsid w:val="09E31E39"/>
    <w:rsid w:val="0AD025A1"/>
    <w:rsid w:val="0B1A104A"/>
    <w:rsid w:val="0CAE27CD"/>
    <w:rsid w:val="0F67724C"/>
    <w:rsid w:val="113E31DE"/>
    <w:rsid w:val="15D90D42"/>
    <w:rsid w:val="18301906"/>
    <w:rsid w:val="1F0E708E"/>
    <w:rsid w:val="226070D0"/>
    <w:rsid w:val="235F32DC"/>
    <w:rsid w:val="2D3E1A59"/>
    <w:rsid w:val="2E470888"/>
    <w:rsid w:val="38E72296"/>
    <w:rsid w:val="3CA3007B"/>
    <w:rsid w:val="3EF15E24"/>
    <w:rsid w:val="3F1B42A4"/>
    <w:rsid w:val="40997804"/>
    <w:rsid w:val="421C47CA"/>
    <w:rsid w:val="422A1A8D"/>
    <w:rsid w:val="42A538CE"/>
    <w:rsid w:val="433E37B1"/>
    <w:rsid w:val="462A7EAE"/>
    <w:rsid w:val="49545326"/>
    <w:rsid w:val="4B1460A2"/>
    <w:rsid w:val="4C582666"/>
    <w:rsid w:val="504B1C98"/>
    <w:rsid w:val="531B197A"/>
    <w:rsid w:val="59532FF8"/>
    <w:rsid w:val="5B94506C"/>
    <w:rsid w:val="5EAE2389"/>
    <w:rsid w:val="61155001"/>
    <w:rsid w:val="614B3504"/>
    <w:rsid w:val="631F51C0"/>
    <w:rsid w:val="63A13DD1"/>
    <w:rsid w:val="640F4EB9"/>
    <w:rsid w:val="6607539F"/>
    <w:rsid w:val="667447B3"/>
    <w:rsid w:val="67145F6E"/>
    <w:rsid w:val="67CF654D"/>
    <w:rsid w:val="6A16691F"/>
    <w:rsid w:val="6A5F47EA"/>
    <w:rsid w:val="6D694B83"/>
    <w:rsid w:val="738605EB"/>
    <w:rsid w:val="777205DA"/>
    <w:rsid w:val="793A7A41"/>
    <w:rsid w:val="7A5B4DFF"/>
    <w:rsid w:val="7B613D07"/>
    <w:rsid w:val="7C8524EE"/>
    <w:rsid w:val="7FFC4A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3"/>
    <w:link w:val="18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79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8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4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wordWrap w:val="0"/>
      <w:spacing w:line="560" w:lineRule="exact"/>
      <w:ind w:firstLine="640" w:firstLineChars="200"/>
    </w:pPr>
    <w:rPr>
      <w:rFonts w:ascii="仿宋_GB2312" w:eastAsia="仿宋_GB2312"/>
      <w:sz w:val="32"/>
    </w:rPr>
  </w:style>
  <w:style w:type="paragraph" w:styleId="4">
    <w:name w:val="macro"/>
    <w:link w:val="16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contextualSpacing/>
    </w:pPr>
  </w:style>
  <w:style w:type="paragraph" w:styleId="15">
    <w:name w:val="List Number"/>
    <w:basedOn w:val="1"/>
    <w:unhideWhenUsed/>
    <w:qFormat/>
    <w:uiPriority w:val="99"/>
    <w:p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contextualSpacing/>
    </w:pPr>
  </w:style>
  <w:style w:type="paragraph" w:styleId="18">
    <w:name w:val="Body Text 3"/>
    <w:basedOn w:val="1"/>
    <w:link w:val="15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contextualSpacing/>
    </w:pPr>
  </w:style>
  <w:style w:type="paragraph" w:styleId="20">
    <w:name w:val="Body Text"/>
    <w:basedOn w:val="1"/>
    <w:link w:val="16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contextualSpacing/>
    </w:pPr>
  </w:style>
  <w:style w:type="paragraph" w:styleId="25">
    <w:name w:val="footer"/>
    <w:basedOn w:val="1"/>
    <w:link w:val="18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7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8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78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6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paragraph" w:styleId="1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7">
    <w:name w:val="Intense Reference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8">
    <w:name w:val="Heading 9 Char"/>
    <w:basedOn w:val="13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9">
    <w:name w:val="Body Text 2 Char"/>
    <w:basedOn w:val="133"/>
    <w:link w:val="29"/>
    <w:qFormat/>
    <w:uiPriority w:val="99"/>
  </w:style>
  <w:style w:type="character" w:customStyle="1" w:styleId="140">
    <w:name w:val="Intense Quote Char"/>
    <w:basedOn w:val="133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2">
    <w:name w:val="Quote Char1"/>
    <w:basedOn w:val="133"/>
    <w:link w:val="1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Quote"/>
    <w:basedOn w:val="1"/>
    <w:next w:val="1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Heading 9 Char1"/>
    <w:basedOn w:val="133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5">
    <w:name w:val="Heading 4 Char1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Quote Char"/>
    <w:basedOn w:val="13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7">
    <w:name w:val="Body Text 3 Char"/>
    <w:basedOn w:val="133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qFormat/>
    <w:uiPriority w:val="99"/>
    <w:rPr>
      <w:rFonts w:ascii="Courier" w:hAnsi="Courier"/>
      <w:sz w:val="20"/>
      <w:szCs w:val="20"/>
    </w:rPr>
  </w:style>
  <w:style w:type="character" w:customStyle="1" w:styleId="149">
    <w:name w:val="Heading 2 Char1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Heading 2 Char"/>
    <w:basedOn w:val="13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1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2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5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54">
    <w:name w:val="Heading 8 Char1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6 Char1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Title Char"/>
    <w:basedOn w:val="1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7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Body Text Char"/>
    <w:basedOn w:val="133"/>
    <w:qFormat/>
    <w:uiPriority w:val="99"/>
  </w:style>
  <w:style w:type="character" w:customStyle="1" w:styleId="159">
    <w:name w:val="Body Text 3 Char1"/>
    <w:basedOn w:val="133"/>
    <w:link w:val="18"/>
    <w:uiPriority w:val="99"/>
    <w:rPr>
      <w:sz w:val="16"/>
      <w:szCs w:val="16"/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Subtle Reference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Emphasis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Macro Text Char1"/>
    <w:basedOn w:val="133"/>
    <w:link w:val="4"/>
    <w:qFormat/>
    <w:uiPriority w:val="99"/>
    <w:rPr>
      <w:rFonts w:ascii="Courier" w:hAnsi="Courier"/>
      <w:sz w:val="20"/>
      <w:szCs w:val="20"/>
    </w:rPr>
  </w:style>
  <w:style w:type="character" w:customStyle="1" w:styleId="165">
    <w:name w:val="Body Text Char1"/>
    <w:basedOn w:val="133"/>
    <w:link w:val="20"/>
    <w:qFormat/>
    <w:uiPriority w:val="99"/>
  </w:style>
  <w:style w:type="character" w:customStyle="1" w:styleId="166">
    <w:name w:val="Heading 3 Char1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8">
    <w:name w:val="Title Char1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169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70">
    <w:name w:val="Intense Quote Char1"/>
    <w:basedOn w:val="133"/>
    <w:link w:val="17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71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3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4">
    <w:name w:val="Header Char"/>
    <w:basedOn w:val="133"/>
    <w:link w:val="26"/>
    <w:qFormat/>
    <w:uiPriority w:val="99"/>
  </w:style>
  <w:style w:type="character" w:customStyle="1" w:styleId="175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6">
    <w:name w:val="Book Title1"/>
    <w:basedOn w:val="133"/>
    <w:qFormat/>
    <w:uiPriority w:val="33"/>
    <w:rPr>
      <w:b/>
      <w:bCs/>
      <w:smallCaps/>
      <w:spacing w:val="5"/>
    </w:rPr>
  </w:style>
  <w:style w:type="character" w:customStyle="1" w:styleId="177">
    <w:name w:val="Heading 4 Char"/>
    <w:basedOn w:val="133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Body Text 2 Char1"/>
    <w:basedOn w:val="133"/>
    <w:link w:val="29"/>
    <w:qFormat/>
    <w:uiPriority w:val="99"/>
  </w:style>
  <w:style w:type="character" w:customStyle="1" w:styleId="179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Heading 5 Char1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1">
    <w:name w:val="Subtitle Char1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2">
    <w:name w:val="Heading 7 Char1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3">
    <w:name w:val="Heading 1 Char1"/>
    <w:basedOn w:val="1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4">
    <w:name w:val="Heading 1 Char"/>
    <w:basedOn w:val="1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85">
    <w:name w:val="List Paragraph"/>
    <w:basedOn w:val="1"/>
    <w:qFormat/>
    <w:uiPriority w:val="34"/>
    <w:pPr>
      <w:ind w:left="720"/>
      <w:contextualSpacing/>
    </w:pPr>
  </w:style>
  <w:style w:type="character" w:customStyle="1" w:styleId="186">
    <w:name w:val="Footer Char"/>
    <w:basedOn w:val="133"/>
    <w:link w:val="25"/>
    <w:qFormat/>
    <w:uiPriority w:val="99"/>
  </w:style>
  <w:style w:type="character" w:customStyle="1" w:styleId="187">
    <w:name w:val="Subtle Emphasis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ccf0fa1c-c322-4b5c-be63-f8dda40d558a</errorID>
      <errorWord>可持续扩展</errorWord>
      <group>L1_Political</group>
      <groupName>政治性问题</groupName>
      <ability>L2_Keyword</ability>
      <abilityName>固定表述</abilityName>
      <candidateList>
        <item>可持续发展</item>
      </candidateList>
      <explain>词汇“可持续发展”在特定场景下为固定表述形式，请确认此处的“可持续扩展”是否存在不当。</explain>
      <paraID>443A8995</paraID>
      <start>11</start>
      <end>16</end>
      <status>ignored</status>
      <modifiedWord/>
      <trackRevisions>false</trackRevisions>
    </reviewItem>
    <reviewItem>
      <errorID>1aa38b20-9861-43d6-b2f1-e974beef367c</errorID>
      <errorWord>噪音</errorWord>
      <group>L1_Word</group>
      <groupName>字词问题</groupName>
      <ability>L2_Alias</ability>
      <abilityName>也作/曾用词</abilityName>
      <candidateList>
        <item>噪声</item>
      </candidateList>
      <explain>词汇[噪音]为不规范表述或旧称，其规范书面表述为[噪声]。</explain>
      <paraID> 835F497</paraID>
      <start>48</start>
      <end>50</end>
      <status>ignored</status>
      <modifiedWord/>
      <trackRevisions>false</trackRevisions>
    </reviewItem>
    <reviewItem>
      <errorID>89345f2f-9e7a-4479-903b-1e5eeefcd888</errorID>
      <errorWord>季</errorWord>
      <group>L1_Word</group>
      <groupName>字词问题</groupName>
      <ability>L2_Typo</ability>
      <abilityName>字词错误</abilityName>
      <candidateList>
        <item>季度</item>
      </candidateList>
      <explain/>
      <paraID>7E125A83</paraID>
      <start>12</start>
      <end>14</end>
      <status>modified</status>
      <modifiedWord>季度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4e205b9-349e-48e2-b148-d80d9f82f1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5220</Words>
  <Characters>5285</Characters>
  <TotalTime>2</TotalTime>
  <ScaleCrop>false</ScaleCrop>
  <LinksUpToDate>false</LinksUpToDate>
  <CharactersWithSpaces>5285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2026-08-10T15:57:00Z</dcterms:created>
  <dc:creator>Administrator</dc:creator>
  <cp:lastModifiedBy>sdy</cp:lastModifiedBy>
  <dcterms:modified xsi:type="dcterms:W3CDTF">2026-08-11T01:44:10Z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eyJoZGlkIjoiNjdlZjEzODhlMjBhZGI0MjIwOThiYjc4NjFmMmJkYzQiLCJ1c2VySWQiOiI3MDc2MjkwIn0=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80D3DE5114F041F7ADC037C138407092_12</vt:lpwstr>
  </property>
</Properties>
</file>