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Personality-Adaptive Conversational AI for Emotional Support: A Simulation Study Integrating Big Five Detection with Zurich Model Regulation</w:t>
      </w:r>
    </w:p>
    <w:p>
      <w:pPr>
        <w:pStyle w:val="Heading2"/>
      </w:pPr>
      <w:r>
        <w:t>Abstract</w:t>
      </w:r>
    </w:p>
    <w:p>
      <w:pPr/>
      <w:r>
        <w:t>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 *d* = 4.58, *p* &lt;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 **Keywords:** conversational agents; personality detection; adaptive interaction; Big Five personality; behavior regulation; simulation study; methodology; artificial intelligence; proof-of-concept</w:t>
      </w:r>
    </w:p>
    <w:p>
      <w:pPr>
        <w:pStyle w:val="Heading1"/>
      </w:pPr>
      <w:r>
        <w:t>Introduction</w:t>
      </w:r>
    </w:p>
    <w:p>
      <w:pPr>
        <w:pStyle w:val="Heading2"/>
      </w:pPr>
      <w:r>
        <w:t>Background and Significance</w:t>
      </w:r>
    </w:p>
    <w:p>
      <w:r>
        <w:t>Loneliness and social isolation among older adults constitute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have created structural barriers to social engagement [2]. Switzerland, like other developed nations, faces increasing prevalence of social isolation among elderly populations, particularly among those aged 75 and older living independently [3]. This societal challenge has prompted investigation into scalable interventions, including conversational artificial intelligence systems, to supplement traditional healthcare services and provide accessible emotional support.</w:t>
      </w:r>
    </w:p>
    <w:p>
      <w:r>
        <w:t>Contemporary conversational agents employed in healthcare and elder care contexts typically employ generic, non-adaptive support strategies. While such systems demonstrate engagement and acceptability [4], they fail to acknowledge that individuals exhibit systematic differences in communication preferences, emotional regulation strategies, and social interaction styles grounded in personality differences [5,6]. This fundamental limitation suggests potential for enhanced therapeutic outcomes through personality-aware adaptive systems that match behavioral interventions to individual psychological characteristics.</w:t>
      </w:r>
    </w:p>
    <w:p>
      <w:pPr>
        <w:pStyle w:val="Heading2"/>
      </w:pPr>
      <w:r>
        <w:t>Current State of the Evidence</w:t>
      </w:r>
    </w:p>
    <w:p>
      <w:r>
        <w:t>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 substantial gaps persist in current research: (1) limited integration of psychological theory in behavior regulation mechanisms, (2) absence of rigorous validation in healthcare contexts, and (3) lack of comprehensive evaluation frameworks combining automated assessment with human expert validation.</w:t>
      </w:r>
    </w:p>
    <w:p>
      <w:r>
        <w:t>Existing personality-adaptive systems, such as the PROMISE framework [10], demonstrate improved user satisfaction but lack theoretical grounding in motivational psychology and healthcare-specific design considerations. The Zurich Model of Social Motivation [11], while extensively validated in psychological research, has not been systematically applied to conversational AI behavior regulation. This theoretical gap represents an opportunity to ground personality-adaptive mechanisms in established psychological frameworks, potentially enhancing both effectiveness and interpretability.</w:t>
      </w:r>
    </w:p>
    <w:p>
      <w:pPr>
        <w:pStyle w:val="Heading2"/>
      </w:pPr>
      <w:r>
        <w:t>Research Objectives and Expected Contributions</w:t>
      </w:r>
    </w:p>
    <w:p>
      <w:r>
        <w:t xml:space="preserve">This simulation study evaluated the technical feasibility and quantified performance benefits of an integrated personality-adaptive framework combining: (1) real-time Big Five trait detection, (2) Zurich Model-aligned behavior regulation, and (3) validated evaluation methodology benchmarked against clinical psychologists. We present the first integrated implementation of Zurich Model-aligned behavior regulation in conversational AI, combining personality detection with theoretically-grounded adaptation mechanisms. Our simulation demonstrates that personality-adaptive agents achieve perfect detection accuracy (100%, 58/58) and regulation effectiveness (100%, 59/59), with exceptionally large effect sizes for personality-specific adaptation (Cohen's </w:t>
      </w:r>
      <w:r>
        <w:rPr>
          <w:i/>
        </w:rPr>
        <w:t>d</w:t>
      </w:r>
      <w:r>
        <w:t xml:space="preserve"> = 4.58, </w:t>
      </w:r>
      <w:r>
        <w:rPr>
          <w:i/>
        </w:rPr>
        <w:t>p</w:t>
      </w:r>
      <w:r>
        <w:t xml:space="preserve"> &lt; 0.001). We further contribute a validated evaluation framework establishing excellent agreement between AI-based assessment and clinical psychologists (κ = 0.89), addressing concerns about AI-evaluating-AI bias.</w:t>
      </w:r>
    </w:p>
    <w:p>
      <w:r>
        <w:t>We emphasize that these findings represent proof-of-concept demonstration under controlled conditions rather than evidence of real-world clinical effectiveness. Extensive human subject validation is required before any healthcare application or therapeutic claim can be supported.</w:t>
      </w:r>
    </w:p>
    <w:p>
      <w:pPr>
        <w:pStyle w:val="Heading1"/>
      </w:pPr>
      <w:r>
        <w:t>Related Work</w:t>
      </w:r>
    </w:p>
    <w:p>
      <w:r>
        <w:t>This section provides a comprehensive review of research relevant to personality-adaptive conversational AI with potential applications in supportive interaction contexts. We organize the review into five thematic areas aligned with Samuel Devdas's foundational thesis work: (1) challenges and evolution in affective computing, (2) advancements with LLMs and multimodal systems, (3) AI companions and digital interventions for loneliness, (4) personality-aware dialogue systems, and (5) regulation models and evaluation methodologies.</w:t>
      </w:r>
    </w:p>
    <w:p>
      <w:pPr>
        <w:pStyle w:val="Heading2"/>
      </w:pPr>
      <w:r>
        <w:t>Challenges and Evolution in Affective Computing</w:t>
      </w:r>
    </w:p>
    <w:p>
      <w:r>
        <w:t>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pPr>
        <w:pStyle w:val="Heading2"/>
      </w:pPr>
      <w:r>
        <w:t>Advancements with Large Language Models and Multimodal Systems</w:t>
      </w:r>
    </w:p>
    <w:p>
      <w:r>
        <w:t>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r>
        <w:t>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pPr>
        <w:pStyle w:val="Heading2"/>
      </w:pPr>
      <w:r>
        <w:t>AI Companions and Digital Interventions for Loneliness</w:t>
      </w:r>
    </w:p>
    <w:p>
      <w:r>
        <w:t>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pPr>
        <w:pStyle w:val="Heading2"/>
      </w:pPr>
      <w:r>
        <w:t>Personality-Aware Dialogue Systems and the PROMISE Framework</w:t>
      </w:r>
    </w:p>
    <w:p>
      <w:r>
        <w:t>Incorporating user personality is a growing area. Recent architectural advancements have provided new tools for building sophisticated, adaptive chatbots. The PROMISE framework (Wu et al., 2023) offers a robust architecture for complex conversation management through stateful prompt orchestration, separating dialogue state tracking and response generation into distinct components [7]. This modular design provides an effective foundation for integrating personality-adaptive mechanisms.</w:t>
      </w:r>
    </w:p>
    <w:p>
      <w:r>
        <w:t xml:space="preserve">However, while PROMISE provides the </w:t>
      </w:r>
      <w:r>
        <w:rPr>
          <w:i/>
        </w:rPr>
        <w:t>architecture</w:t>
      </w:r>
      <w:r>
        <w:t xml:space="preserve"> for adaptation, it does not itself include personality detection modules or a psychological framework for determining </w:t>
      </w:r>
      <w:r>
        <w:rPr>
          <w:i/>
        </w:rPr>
        <w:t>how</w:t>
      </w:r>
      <w:r>
        <w:t xml:space="preserve"> behavior should adapt. This research gap is addressed in the present study by extending PROMISE with: (1) a real-time Big Five personality detection module that infers user traits from dialogue content, (2) a behavior regulation module grounded in the Zurich Model of Social Motivation, operationalizing psychological theory for chatbot adaptation, and (3) healthcare-specific application design for emotional support contexts.</w:t>
      </w:r>
    </w:p>
    <w:p>
      <w:r>
        <w:t>Specifically, the present work implements:</w:t>
      </w:r>
    </w:p>
    <w:p>
      <w:r>
        <w:t xml:space="preserve">1. </w:t>
      </w:r>
      <w:r>
        <w:rPr>
          <w:b/>
        </w:rPr>
        <w:t>Modular Personality Detection</w:t>
      </w:r>
      <w:r>
        <w:t>: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w:t>
      </w:r>
    </w:p>
    <w:p>
      <w:r>
        <w:t xml:space="preserve">2. </w:t>
      </w:r>
      <w:r>
        <w:rPr>
          <w:b/>
        </w:rPr>
        <w:t>Theory-Grounded Behavior Regulation</w:t>
      </w:r>
      <w:r>
        <w:t>: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w:t>
      </w:r>
    </w:p>
    <w:p>
      <w:r>
        <w:t xml:space="preserve">3. </w:t>
      </w:r>
      <w:r>
        <w:rPr>
          <w:b/>
        </w:rPr>
        <w:t>Healthcare-Specific Validation</w:t>
      </w:r>
      <w:r>
        <w:t>: Application and validation of this extended architecture in an emotional support context with comprehensive evaluation frameworks and inter-rater reliability assessment against clinical experts.</w:t>
      </w:r>
    </w:p>
    <w:p>
      <w:r>
        <w:t>This integration directly addresses critical gaps in the literature by creating a personality-adaptive system validated for healthcare application and grounded in established motivational psychology theory.</w:t>
      </w:r>
    </w:p>
    <w:p>
      <w:pPr>
        <w:pStyle w:val="Heading2"/>
      </w:pPr>
      <w:r>
        <w:t>Regulation Models and Evaluation Frameworks</w:t>
      </w:r>
    </w:p>
    <w:p>
      <w:r>
        <w:t>While systems like EmoAda and evaluation frameworks like FEEL (Zhang et al., 2024) advance emotion tracking and assessment, few explicitly operationalize psychological regulation theories. This work addresses this gap by aligning behavior regulation directly with the Zurich Model of Social Motivation (Bischof, 1993; Quirin et al., 2023), enabling trait-specific adjustments across motivational domains (security, affiliation, arousal).</w:t>
      </w:r>
    </w:p>
    <w:p>
      <w:r>
        <w:t>The Zurich Model demonstrates systematic mapping of Big Five personality traits to core motivational systems. High Neuroticism correlates negatively with security system regulation, high Openness and Extraversion associate with arousal system activation, and Agreeableness relates to affiliation system dominance (Quirin et al., 2023). This mapping provides the theoretical foundation for the current work's behavior regulation architecture.</w:t>
      </w:r>
    </w:p>
    <w:p>
      <w:r>
        <w:t>While frameworks like FEEL offer improvements in evaluation,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pPr>
        <w:pStyle w:val="Heading2"/>
      </w:pPr>
      <w:r>
        <w:t>Identified Gaps and Thesis Contribution</w:t>
      </w:r>
    </w:p>
    <w:p>
      <w:r>
        <w:t>Based on comprehensive literature review, three critical research gaps were identified that this work directly addresses:</w:t>
      </w:r>
    </w:p>
    <w:p>
      <w:r>
        <w:t xml:space="preserve">1. </w:t>
      </w:r>
      <w:r>
        <w:rPr>
          <w:b/>
        </w:rPr>
        <w:t>Dynamic Versus Static Personality Detection</w:t>
      </w:r>
      <w:r>
        <w:t>: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w:t>
      </w:r>
    </w:p>
    <w:p>
      <w:r>
        <w:t xml:space="preserve">2. </w:t>
      </w:r>
      <w:r>
        <w:rPr>
          <w:b/>
        </w:rPr>
        <w:t>Theoretically-Grounded Psychological Regulation</w:t>
      </w:r>
      <w:r>
        <w:t>: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underexplored in conversational AI.</w:t>
      </w:r>
    </w:p>
    <w:p>
      <w:r>
        <w:t xml:space="preserve">3. </w:t>
      </w:r>
      <w:r>
        <w:rPr>
          <w:b/>
        </w:rPr>
        <w:t>Rigorous Evaluation of Adaptive Effectiveness</w:t>
      </w:r>
      <w:r>
        <w:t>: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w:t>
      </w:r>
    </w:p>
    <w:p>
      <w:r>
        <w:rPr>
          <w:b/>
        </w:rPr>
        <w:t>Study Contribution</w:t>
      </w:r>
      <w:r>
        <w:t>: This work presents: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pPr>
        <w:pStyle w:val="Heading1"/>
      </w:pPr>
      <w:r>
        <w:t>Materials and Methods</w:t>
      </w:r>
    </w:p>
    <w:p>
      <w:pPr>
        <w:pStyle w:val="Heading2"/>
      </w:pPr>
      <w:r>
        <w:t>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Heading3"/>
      </w:pPr>
      <w:r>
        <w:t>Sample Size Justification and Statistical Power</w:t>
      </w:r>
    </w:p>
    <w:p>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pPr>
        <w:pStyle w:val="Heading3"/>
      </w:pPr>
      <w:r>
        <w:t>Evaluation Methodology</w:t>
      </w:r>
    </w:p>
    <w:p>
      <w:r>
        <w:t>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r>
        <w:t>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r>
        <w:rPr>
          <w:b/>
        </w:rPr>
        <w:t>Validation Results:</w:t>
      </w:r>
      <w:r>
        <w:t xml:space="preserve"> 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r>
        <w:t>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p>
      <w:pPr>
        <w:pStyle w:val="Heading3"/>
      </w:pPr>
      <w:r>
        <w:t>Ethics Statement### Ethics Statement</w:t>
      </w:r>
    </w:p>
    <w:p>
      <w:r>
        <w:t>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pPr>
        <w:pStyle w:val="Heading2"/>
      </w:pPr>
      <w:r>
        <w:t>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Personality Detection Module</w:t>
      </w:r>
    </w:p>
    <w:p>
      <w:pPr>
        <w:pStyle w:val="Heading3"/>
      </w:pPr>
      <w:r>
        <w:t>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Behavior Regulation Module</w:t>
      </w:r>
    </w:p>
    <w:p>
      <w:pPr>
        <w:pStyle w:val="Heading3"/>
      </w:pPr>
      <w:r>
        <w:t>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Trait</w:t>
            </w:r>
          </w:p>
        </w:tc>
        <w:tc>
          <w:tcPr>
            <w:tcW w:type="dxa" w:w="2480"/>
          </w:tcPr>
          <w:p>
            <w:r>
              <w:rPr>
                <w:rFonts w:ascii="Times New Roman" w:hAnsi="Times New Roman"/>
                <w:b/>
                <w:sz w:val="18"/>
              </w:rPr>
              <w:t>High (+1) Regulation Prompt</w:t>
            </w:r>
          </w:p>
        </w:tc>
        <w:tc>
          <w:tcPr>
            <w:tcW w:type="dxa" w:w="2480"/>
          </w:tcPr>
          <w:p>
            <w:r>
              <w:rPr>
                <w:rFonts w:ascii="Times New Roman" w:hAnsi="Times New Roman"/>
                <w:b/>
                <w:sz w:val="18"/>
              </w:rPr>
              <w:t>Low (-1) Regulation Prompt</w:t>
            </w:r>
          </w:p>
        </w:tc>
        <w:tc>
          <w:tcPr>
            <w:tcW w:type="dxa" w:w="2480"/>
          </w:tcPr>
          <w:p>
            <w:r>
              <w:rPr>
                <w:rFonts w:ascii="Times New Roman" w:hAnsi="Times New Roman"/>
                <w:b/>
                <w:sz w:val="18"/>
              </w:rPr>
              <w:t>Motivational Domain</w:t>
            </w:r>
          </w:p>
        </w:tc>
      </w:tr>
      <w:tr>
        <w:tc>
          <w:tcPr>
            <w:tcW w:type="dxa" w:w="2480"/>
          </w:tcPr>
          <w:p>
            <w:r>
              <w:rPr>
                <w:rFonts w:ascii="Times New Roman" w:hAnsi="Times New Roman"/>
                <w:sz w:val="18"/>
              </w:rPr>
              <w:t>Openness</w:t>
            </w:r>
          </w:p>
        </w:tc>
        <w:tc>
          <w:tcPr>
            <w:tcW w:type="dxa" w:w="2480"/>
          </w:tcPr>
          <w:p>
            <w:r>
              <w:rPr>
                <w:rFonts w:ascii="Times New Roman" w:hAnsi="Times New Roman"/>
                <w:sz w:val="18"/>
              </w:rPr>
              <w:t>"Explore diverse approaches, introduce new concepts"</w:t>
            </w:r>
          </w:p>
        </w:tc>
        <w:tc>
          <w:tcPr>
            <w:tcW w:type="dxa" w:w="2480"/>
          </w:tcPr>
          <w:p>
            <w:r>
              <w:rPr>
                <w:rFonts w:ascii="Times New Roman" w:hAnsi="Times New Roman"/>
                <w:sz w:val="18"/>
              </w:rPr>
              <w:t>"Focus on familiar, established practices"</w:t>
            </w:r>
          </w:p>
        </w:tc>
        <w:tc>
          <w:tcPr>
            <w:tcW w:type="dxa" w:w="2480"/>
          </w:tcPr>
          <w:p>
            <w:r>
              <w:rPr>
                <w:rFonts w:ascii="Times New Roman" w:hAnsi="Times New Roman"/>
                <w:sz w:val="18"/>
              </w:rPr>
              <w:t>Arousal</w:t>
            </w:r>
          </w:p>
        </w:tc>
      </w:tr>
      <w:tr>
        <w:tc>
          <w:tcPr>
            <w:tcW w:type="dxa" w:w="2480"/>
          </w:tcPr>
          <w:p>
            <w:r>
              <w:rPr>
                <w:rFonts w:ascii="Times New Roman" w:hAnsi="Times New Roman"/>
                <w:sz w:val="18"/>
              </w:rPr>
              <w:t>Conscientiousness</w:t>
            </w:r>
          </w:p>
        </w:tc>
        <w:tc>
          <w:tcPr>
            <w:tcW w:type="dxa" w:w="2480"/>
          </w:tcPr>
          <w:p>
            <w:r>
              <w:rPr>
                <w:rFonts w:ascii="Times New Roman" w:hAnsi="Times New Roman"/>
                <w:sz w:val="18"/>
              </w:rPr>
              <w:t>"Provide structured, systematic guidance"</w:t>
            </w:r>
          </w:p>
        </w:tc>
        <w:tc>
          <w:tcPr>
            <w:tcW w:type="dxa" w:w="2480"/>
          </w:tcPr>
          <w:p>
            <w:r>
              <w:rPr>
                <w:rFonts w:ascii="Times New Roman" w:hAnsi="Times New Roman"/>
                <w:sz w:val="18"/>
              </w:rPr>
              <w:t>"Offer flexible, adaptable approaches"</w:t>
            </w:r>
          </w:p>
        </w:tc>
        <w:tc>
          <w:tcPr>
            <w:tcW w:type="dxa" w:w="2480"/>
          </w:tcPr>
          <w:p>
            <w:r>
              <w:rPr>
                <w:rFonts w:ascii="Times New Roman" w:hAnsi="Times New Roman"/>
                <w:sz w:val="18"/>
              </w:rPr>
              <w:t>Arousal</w:t>
            </w:r>
          </w:p>
        </w:tc>
      </w:tr>
      <w:tr>
        <w:tc>
          <w:tcPr>
            <w:tcW w:type="dxa" w:w="2480"/>
          </w:tcPr>
          <w:p>
            <w:r>
              <w:rPr>
                <w:rFonts w:ascii="Times New Roman" w:hAnsi="Times New Roman"/>
                <w:sz w:val="18"/>
              </w:rPr>
              <w:t>Extraversion</w:t>
            </w:r>
          </w:p>
        </w:tc>
        <w:tc>
          <w:tcPr>
            <w:tcW w:type="dxa" w:w="2480"/>
          </w:tcPr>
          <w:p>
            <w:r>
              <w:rPr>
                <w:rFonts w:ascii="Times New Roman" w:hAnsi="Times New Roman"/>
                <w:sz w:val="18"/>
              </w:rPr>
              <w:t>"Use encouraging, interactive communication"</w:t>
            </w:r>
          </w:p>
        </w:tc>
        <w:tc>
          <w:tcPr>
            <w:tcW w:type="dxa" w:w="2480"/>
          </w:tcPr>
          <w:p>
            <w:r>
              <w:rPr>
                <w:rFonts w:ascii="Times New Roman" w:hAnsi="Times New Roman"/>
                <w:sz w:val="18"/>
              </w:rPr>
              <w:t>"Adopt calm, reflective tone"</w:t>
            </w:r>
          </w:p>
        </w:tc>
        <w:tc>
          <w:tcPr>
            <w:tcW w:type="dxa" w:w="2480"/>
          </w:tcPr>
          <w:p>
            <w:r>
              <w:rPr>
                <w:rFonts w:ascii="Times New Roman" w:hAnsi="Times New Roman"/>
                <w:sz w:val="18"/>
              </w:rPr>
              <w:t>Arousal</w:t>
            </w:r>
          </w:p>
        </w:tc>
      </w:tr>
      <w:tr>
        <w:tc>
          <w:tcPr>
            <w:tcW w:type="dxa" w:w="2480"/>
          </w:tcPr>
          <w:p>
            <w:r>
              <w:rPr>
                <w:rFonts w:ascii="Times New Roman" w:hAnsi="Times New Roman"/>
                <w:sz w:val="18"/>
              </w:rPr>
              <w:t>Agreeableness</w:t>
            </w:r>
          </w:p>
        </w:tc>
        <w:tc>
          <w:tcPr>
            <w:tcW w:type="dxa" w:w="2480"/>
          </w:tcPr>
          <w:p>
            <w:r>
              <w:rPr>
                <w:rFonts w:ascii="Times New Roman" w:hAnsi="Times New Roman"/>
                <w:sz w:val="18"/>
              </w:rPr>
              <w:t>"Show warmth, collaborative planning"</w:t>
            </w:r>
          </w:p>
        </w:tc>
        <w:tc>
          <w:tcPr>
            <w:tcW w:type="dxa" w:w="2480"/>
          </w:tcPr>
          <w:p>
            <w:r>
              <w:rPr>
                <w:rFonts w:ascii="Times New Roman" w:hAnsi="Times New Roman"/>
                <w:sz w:val="18"/>
              </w:rPr>
              <w:t>"Use neutral, professional stance"</w:t>
            </w:r>
          </w:p>
        </w:tc>
        <w:tc>
          <w:tcPr>
            <w:tcW w:type="dxa" w:w="2480"/>
          </w:tcPr>
          <w:p>
            <w:r>
              <w:rPr>
                <w:rFonts w:ascii="Times New Roman" w:hAnsi="Times New Roman"/>
                <w:sz w:val="18"/>
              </w:rPr>
              <w:t>Affiliation</w:t>
            </w:r>
          </w:p>
        </w:tc>
      </w:tr>
      <w:tr>
        <w:tc>
          <w:tcPr>
            <w:tcW w:type="dxa" w:w="2480"/>
          </w:tcPr>
          <w:p>
            <w:r>
              <w:rPr>
                <w:rFonts w:ascii="Times New Roman" w:hAnsi="Times New Roman"/>
                <w:sz w:val="18"/>
              </w:rPr>
              <w:t>Neuroticism</w:t>
            </w:r>
          </w:p>
        </w:tc>
        <w:tc>
          <w:tcPr>
            <w:tcW w:type="dxa" w:w="2480"/>
          </w:tcPr>
          <w:p>
            <w:r>
              <w:rPr>
                <w:rFonts w:ascii="Times New Roman" w:hAnsi="Times New Roman"/>
                <w:sz w:val="18"/>
              </w:rPr>
              <w:t>"Reinforce stability, confidence"</w:t>
            </w:r>
          </w:p>
        </w:tc>
        <w:tc>
          <w:tcPr>
            <w:tcW w:type="dxa" w:w="2480"/>
          </w:tcPr>
          <w:p>
            <w:r>
              <w:rPr>
                <w:rFonts w:ascii="Times New Roman" w:hAnsi="Times New Roman"/>
                <w:sz w:val="18"/>
              </w:rPr>
              <w:t>"Provide extra support, acknowledge concerns"</w:t>
            </w:r>
          </w:p>
        </w:tc>
        <w:tc>
          <w:tcPr>
            <w:tcW w:type="dxa" w:w="2480"/>
          </w:tcPr>
          <w:p>
            <w:r>
              <w:rPr>
                <w:rFonts w:ascii="Times New Roman" w:hAnsi="Times New Roman"/>
                <w:sz w:val="18"/>
              </w:rPr>
              <w:t>Security</w:t>
            </w:r>
          </w:p>
        </w:tc>
      </w:tr>
    </w:tbl>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Experimental Protocol</w:t>
      </w:r>
    </w:p>
    <w:p>
      <w:pPr>
        <w:pStyle w:val="Heading3"/>
      </w:pPr>
      <w:r>
        <w:t>Personality Profile Simulation</w:t>
      </w:r>
    </w:p>
    <w:p>
      <w:r>
        <w:t>Two extreme personality profiles were implemented based on established Big Five research:</w:t>
      </w:r>
    </w:p>
    <w:p>
      <w:r>
        <w:t xml:space="preserve">- </w:t>
      </w:r>
      <w:r>
        <w:rPr>
          <w:b/>
        </w:rPr>
        <w:t>Type A (High-functioning)</w:t>
      </w:r>
      <w:r>
        <w:t>: P_A = (+1,+1,+1,+1,+1) representing openness to treatment, conscientiousness, social engagement, cooperation, and emotional stability</w:t>
      </w:r>
    </w:p>
    <w:p>
      <w:r>
        <w:t xml:space="preserve">- </w:t>
      </w:r>
      <w:r>
        <w:rPr>
          <w:b/>
        </w:rPr>
        <w:t>Type B (Vulnerable)</w:t>
      </w:r>
      <w:r>
        <w:t>: P_B = (−1,−1,−1,−1,−1) representing treatment resistance, disorganization, withdrawal, skepticism, and emotional sensitivity</w:t>
      </w:r>
    </w:p>
    <w:p>
      <w:r>
        <w:t>Each profile was systematically encoded into specific conversational prompts maintaining consistency across dialogue turns, based on established personality psychology literature.</w:t>
      </w:r>
    </w:p>
    <w:p>
      <w:r>
        <w:rPr>
          <w:b/>
        </w:rPr>
        <w:t>Profile Encoding Methodology</w:t>
      </w:r>
      <w:r>
        <w:t>: Personality profiles were encoded using carefully crafted conversational prompts that consistently exhibit the target trait levels across all dialogue turns. These prompts were developed through iterative refinement to ensure they accurately represent the intended personality characteristics while maintaining conversational naturalness.</w:t>
      </w:r>
    </w:p>
    <w:p>
      <w:r>
        <w:rPr>
          <w:b/>
        </w:rPr>
        <w:t>Type A Profile Characteristics</w:t>
      </w:r>
      <w:r>
        <w:t>:</w:t>
      </w:r>
    </w:p>
    <w:p>
      <w:r>
        <w:t xml:space="preserve">- </w:t>
      </w:r>
      <w:r>
        <w:rPr>
          <w:b/>
        </w:rPr>
        <w:t>Openness</w:t>
      </w:r>
      <w:r>
        <w:t>: "I'd love to explore different approaches and try new strategies"</w:t>
      </w:r>
    </w:p>
    <w:p>
      <w:r>
        <w:t xml:space="preserve">- </w:t>
      </w:r>
      <w:r>
        <w:rPr>
          <w:b/>
        </w:rPr>
        <w:t>Conscientiousness</w:t>
      </w:r>
      <w:r>
        <w:t>: "Let me organize this systematically and set clear goals"</w:t>
      </w:r>
    </w:p>
    <w:p>
      <w:r>
        <w:t xml:space="preserve">- </w:t>
      </w:r>
      <w:r>
        <w:rPr>
          <w:b/>
        </w:rPr>
        <w:t>Extraversion</w:t>
      </w:r>
      <w:r>
        <w:t>: "I'm excited to work together and share my experiences"</w:t>
      </w:r>
    </w:p>
    <w:p>
      <w:r>
        <w:t xml:space="preserve">- </w:t>
      </w:r>
      <w:r>
        <w:rPr>
          <w:b/>
        </w:rPr>
        <w:t>Agreeableness</w:t>
      </w:r>
      <w:r>
        <w:t>: "I understand and appreciate your perspective, let's collaborate"</w:t>
      </w:r>
    </w:p>
    <w:p>
      <w:r>
        <w:t xml:space="preserve">- </w:t>
      </w:r>
      <w:r>
        <w:rPr>
          <w:b/>
        </w:rPr>
        <w:t>Neuroticism</w:t>
      </w:r>
      <w:r>
        <w:t>: "I feel confident we can handle this together"</w:t>
      </w:r>
    </w:p>
    <w:p>
      <w:r>
        <w:rPr>
          <w:b/>
        </w:rPr>
        <w:t>Type B Profile Characteristics</w:t>
      </w:r>
      <w:r>
        <w:t>:</w:t>
      </w:r>
    </w:p>
    <w:p>
      <w:r>
        <w:t xml:space="preserve">- </w:t>
      </w:r>
      <w:r>
        <w:rPr>
          <w:b/>
        </w:rPr>
        <w:t>Openness</w:t>
      </w:r>
      <w:r>
        <w:t>: "I don't see the point in trying new things, let's stick to what works"</w:t>
      </w:r>
    </w:p>
    <w:p>
      <w:r>
        <w:t xml:space="preserve">- </w:t>
      </w:r>
      <w:r>
        <w:rPr>
          <w:b/>
        </w:rPr>
        <w:t>Conscientiousness</w:t>
      </w:r>
      <w:r>
        <w:t>: "I'll figure it out when I feel like it, no need to rush"</w:t>
      </w:r>
    </w:p>
    <w:p>
      <w:r>
        <w:t xml:space="preserve">- </w:t>
      </w:r>
      <w:r>
        <w:rPr>
          <w:b/>
        </w:rPr>
        <w:t>Extraversion</w:t>
      </w:r>
      <w:r>
        <w:t>: "I need to be alone right now, I'm not in the mood to socialize"</w:t>
      </w:r>
    </w:p>
    <w:p>
      <w:r>
        <w:t xml:space="preserve">- </w:t>
      </w:r>
      <w:r>
        <w:rPr>
          <w:b/>
        </w:rPr>
        <w:t>Agreeableness</w:t>
      </w:r>
      <w:r>
        <w:t>: "Actually, I disagree with that approach, it won't work for me"</w:t>
      </w:r>
    </w:p>
    <w:p>
      <w:r>
        <w:t xml:space="preserve">- </w:t>
      </w:r>
      <w:r>
        <w:rPr>
          <w:b/>
        </w:rPr>
        <w:t>Neuroticism</w:t>
      </w:r>
      <w:r>
        <w:t>: "I'm worried this will make things worse, I don't feel safe"</w:t>
      </w:r>
    </w:p>
    <w:p>
      <w:pPr>
        <w:pStyle w:val="Heading3"/>
      </w:pPr>
      <w:r>
        <w:t>Agent Configuration</w:t>
      </w:r>
    </w:p>
    <w:p>
      <w:r>
        <w:t>For each personality type:</w:t>
      </w:r>
    </w:p>
    <w:p>
      <w:r>
        <w:t xml:space="preserve">- </w:t>
      </w:r>
      <w:r>
        <w:rPr>
          <w:b/>
        </w:rPr>
        <w:t>5 Regulated Agents</w:t>
      </w:r>
      <w:r>
        <w:t>: Dynamic personality detection + trait-based regulation per turn</w:t>
      </w:r>
    </w:p>
    <w:p>
      <w:r>
        <w:t xml:space="preserve">- </w:t>
      </w:r>
      <w:r>
        <w:rPr>
          <w:b/>
        </w:rPr>
        <w:t>5 Baseline Agents</w:t>
      </w:r>
      <w:r>
        <w:t>: Static supportive responses without personality adaptation</w:t>
      </w:r>
    </w:p>
    <w:p>
      <w:r>
        <w:t xml:space="preserve">- </w:t>
      </w:r>
      <w:r>
        <w:rPr>
          <w:b/>
        </w:rPr>
        <w:t>Total</w:t>
      </w:r>
      <w:r>
        <w:t>: 10 agents per personality type, 20 agents overall</w:t>
      </w:r>
    </w:p>
    <w:p>
      <w:r>
        <w:t>Each agent engaged in structured 6-turn dialogues, generating 120 total dialogue turns for analysis.</w:t>
      </w:r>
    </w:p>
    <w:p>
      <w:r>
        <w:rPr>
          <w:b/>
        </w:rPr>
        <w:t>Agent Implementation Details</w:t>
      </w:r>
      <w:r>
        <w:t>: Each agent was implemented as a separate GPT-4 instance with customized system prompts. Regulated agents received dynamic prompts that updated based on detected personality traits, while baseline agents maintained static supportive prompts throughout all interactions.</w:t>
      </w:r>
    </w:p>
    <w:p>
      <w:r>
        <w:rPr>
          <w:b/>
        </w:rPr>
        <w:t>Dialogue Structure</w:t>
      </w:r>
      <w:r>
        <w:t>: All conversations followed a standardized 6-turn structure designed to provide sufficient interaction depth for personality detection while maintaining manageable evaluation complexity. Each turn consisted of a user message followed by an assistant response.</w:t>
      </w:r>
    </w:p>
    <w:p>
      <w:r>
        <w:rPr>
          <w:b/>
        </w:rPr>
        <w:t>Randomization and Control</w:t>
      </w:r>
      <w:r>
        <w:t>: Agent instances were randomly assigned to personality types to minimize potential bias. Baseline agents served as control conditions, ensuring that any performance differences could be attributed to the personality adaptation mechanisms rather than other factors.</w:t>
      </w:r>
    </w:p>
    <w:p>
      <w:pPr>
        <w:pStyle w:val="Heading3"/>
      </w:pPr>
      <w:r>
        <w:t>Evaluation Framework</w:t>
      </w:r>
    </w:p>
    <w:p>
      <w:r>
        <w:rPr>
          <w:b/>
        </w:rPr>
        <w:t>Critical Methodological Challenge - The "AI-Evaluating-AI" Problem</w:t>
      </w:r>
      <w:r>
        <w:t>:</w:t>
      </w:r>
    </w:p>
    <w:p>
      <w:r>
        <w:t>A fundamental threat to validity in this simulation study is reliance on an AI-based evaluator (Evaluator GPT) to assess conversational quality produced by another AI system (regulated and baseline agents). This "AI-evaluating-AI" scenario creates circular validation concerns: LLMs may show systematic bias toward outputs from similar models, potentially inflating performance metrics and rendering results non-interpretable. To address this critical validity threat, we implemented a rigorous human-expert validation protocol.</w:t>
      </w:r>
    </w:p>
    <w:p>
      <w:r>
        <w:rPr>
          <w:b/>
        </w:rPr>
        <w:t>Assessment Criteria</w:t>
      </w:r>
      <w:r>
        <w:t>:</w:t>
      </w:r>
    </w:p>
    <w:p>
      <w:r>
        <w:t xml:space="preserve">- </w:t>
      </w:r>
      <w:r>
        <w:rPr>
          <w:b/>
        </w:rPr>
        <w:t>Regulated Agents</w:t>
      </w:r>
      <w:r>
        <w:t>: Detection Accuracy, Regulation Effectiveness, Emotional Tone Appropriateness, Relevance &amp; Coherence, Personality Needs Addressed</w:t>
      </w:r>
    </w:p>
    <w:p>
      <w:r>
        <w:t xml:space="preserve">- </w:t>
      </w:r>
      <w:r>
        <w:rPr>
          <w:b/>
        </w:rPr>
        <w:t>Baseline Agents</w:t>
      </w:r>
      <w:r>
        <w:t>: Emotional Tone Appropriateness, Relevance &amp; Coherence, Personality Needs Addressed</w:t>
      </w:r>
    </w:p>
    <w:p>
      <w:r>
        <w:t xml:space="preserve">- </w:t>
      </w:r>
      <w:r>
        <w:rPr>
          <w:b/>
        </w:rPr>
        <w:t>Scoring</w:t>
      </w:r>
      <w:r>
        <w:t>: Trinary scale {0,1,2} per criterion</w:t>
      </w:r>
    </w:p>
    <w:p>
      <w:r>
        <w:rPr>
          <w:b/>
        </w:rPr>
        <w:t>Primary Evaluation Method - Evaluator GPT (AI-Based)</w:t>
      </w:r>
      <w:r>
        <w:t>:</w:t>
      </w:r>
    </w:p>
    <w:p>
      <w:r>
        <w:t>Custom LLM-based Evaluator (GPT-4) with structured prompts designed for comprehensive assessment. The AI evaluator was used to score all 120 dialogue turns to enable complete dataset evaluation with consistency and efficiency.</w:t>
      </w:r>
    </w:p>
    <w:p>
      <w:r>
        <w:rPr>
          <w:b/>
        </w:rPr>
        <w:t>Scoring Protocol for AI Evaluator</w:t>
      </w:r>
      <w:r>
        <w:t>:</w:t>
      </w:r>
    </w:p>
    <w:p>
      <w:r>
        <w:t xml:space="preserve">- </w:t>
      </w:r>
      <w:r>
        <w:rPr>
          <w:b/>
        </w:rPr>
        <w:t>Yes (2 points)</w:t>
      </w:r>
      <w:r>
        <w:t>: Strong alignment with evaluation criteria</w:t>
      </w:r>
    </w:p>
    <w:p>
      <w:r>
        <w:t xml:space="preserve">- </w:t>
      </w:r>
      <w:r>
        <w:rPr>
          <w:b/>
        </w:rPr>
        <w:t>Not Sure (1 point)</w:t>
      </w:r>
      <w:r>
        <w:t>: Partial alignment or ambiguous cases</w:t>
      </w:r>
    </w:p>
    <w:p>
      <w:r>
        <w:t xml:space="preserve">- </w:t>
      </w:r>
      <w:r>
        <w:rPr>
          <w:b/>
        </w:rPr>
        <w:t>No (0 points)</w:t>
      </w:r>
      <w:r>
        <w:t>: Clear misalignment with evaluation criteria</w:t>
      </w:r>
    </w:p>
    <w:p>
      <w:r>
        <w:rPr>
          <w:b/>
        </w:rPr>
        <w:t>Human-Expert Validation Protocol (To Address AI-Evaluating-AI Bias)</w:t>
      </w:r>
      <w:r>
        <w:t>:</w:t>
      </w:r>
    </w:p>
    <w:p>
      <w:r>
        <w:t>To establish validity of the Evaluator GPT and address circular validation concerns, we conducted a rigorous human-expert validation study benchmarking AI assessments against independent human expert judgment.</w:t>
      </w:r>
    </w:p>
    <w:p>
      <w:r>
        <w:rPr>
          <w:b/>
        </w:rPr>
        <w:t>1. Human Expert Panel</w:t>
      </w:r>
      <w:r>
        <w:t>:</w:t>
      </w:r>
    </w:p>
    <w:p>
      <w:r>
        <w:t>- Two PhD-level in-house research experts with advanced training in clinical psychology and healthcare AI evaluation</w:t>
      </w:r>
    </w:p>
    <w:p>
      <w:r>
        <w:t>- Expert 1: PhD in Clinical Psychology, 14 years experience in mental health interventions and AI systems evaluation</w:t>
      </w:r>
    </w:p>
    <w:p>
      <w:r>
        <w:t>- Expert 2: PhD in Computer Science with clinical psychology minor, 10 years experience in AI-based healthcare systems and human-centered evaluation</w:t>
      </w:r>
    </w:p>
    <w:p>
      <w:r>
        <w:t>- Both experts have ≥3 years professional experience specifically evaluating AI-generated outputs and algorithmic bias in healthcare contexts</w:t>
      </w:r>
    </w:p>
    <w:p>
      <w:r>
        <w:t>- Experts represent complementary perspectives: clinical/psychological expertise (Expert 1) and technical/AI methodology expertise (Expert 2)</w:t>
      </w:r>
    </w:p>
    <w:p>
      <w:r>
        <w:t>- Independent evaluation conducted blind to study conditions and other rater assessments</w:t>
      </w:r>
    </w:p>
    <w:p>
      <w:r>
        <w:rPr>
          <w:b/>
        </w:rPr>
        <w:t>2. Validation Sample Selection</w:t>
      </w:r>
      <w:r>
        <w:t>:</w:t>
      </w:r>
    </w:p>
    <w:p>
      <w:r>
        <w:t>- Random stratified sample of 30 dialogue turns from the full 120-turn dataset (25% validation rate)</w:t>
      </w:r>
    </w:p>
    <w:p>
      <w:r>
        <w:t>- Stratification ensured balanced representation across: condition (50% regulated, 50% baseline), personality type (50% Type A, 50% Type B), and turn sequence (early turns 1-2, mid turns 3-4, late turns 5-6)</w:t>
      </w:r>
    </w:p>
    <w:p>
      <w:r>
        <w:t>- Sampling procedure: Random number generation with stratification constraints to ensure representative validation sample</w:t>
      </w:r>
    </w:p>
    <w:p>
      <w:r>
        <w:rPr>
          <w:b/>
        </w:rPr>
        <w:t>3. Identical Evaluation Matrix</w:t>
      </w:r>
      <w:r>
        <w:t>:</w:t>
      </w:r>
    </w:p>
    <w:p>
      <w:r>
        <w:t xml:space="preserve">- Human experts used the </w:t>
      </w:r>
      <w:r>
        <w:rPr>
          <w:i/>
        </w:rPr>
        <w:t>exact same</w:t>
      </w:r>
      <w:r>
        <w:t xml:space="preserve"> 5-criterion evaluation matrix and scoring rubrics employed by Evaluator GPT</w:t>
      </w:r>
    </w:p>
    <w:p>
      <w:r>
        <w:t>- Criteria: Detection Accuracy, Regulation Effectiveness, Emotional Tone Appropriateness, Relevance &amp; Coherence, Personality Needs Addressed</w:t>
      </w:r>
    </w:p>
    <w:p>
      <w:r>
        <w:t>- Trinary scoring scale (Yes=2, Not Sure=1, No=0)</w:t>
      </w:r>
    </w:p>
    <w:p>
      <w:r>
        <w:t>- Detailed rubrics with specific behavioral anchors provided (e.g., "Detection Accuracy: Score YES if personality traits are correctly inferred from linguistic patterns; score NO if traits are misidentified or contradicted by dialogue content")</w:t>
      </w:r>
    </w:p>
    <w:p>
      <w:r>
        <w:rPr>
          <w:b/>
        </w:rPr>
        <w:t>4. Rigorous Blinding Protocol</w:t>
      </w:r>
      <w:r>
        <w:t>:</w:t>
      </w:r>
    </w:p>
    <w:p>
      <w:r>
        <w:t xml:space="preserve">- </w:t>
      </w:r>
      <w:r>
        <w:rPr>
          <w:b/>
        </w:rPr>
        <w:t>Complete information removal</w:t>
      </w:r>
      <w:r>
        <w:t>: All identifying information removed from dialogues (agent condition, personality type, turn number, study information)</w:t>
      </w:r>
    </w:p>
    <w:p>
      <w:r>
        <w:t xml:space="preserve">- </w:t>
      </w:r>
      <w:r>
        <w:rPr>
          <w:b/>
        </w:rPr>
        <w:t>Randomized presentation order</w:t>
      </w:r>
      <w:r>
        <w:t>: 30 validation dialogues presented in random sequence</w:t>
      </w:r>
    </w:p>
    <w:p>
      <w:r>
        <w:t xml:space="preserve">- </w:t>
      </w:r>
      <w:r>
        <w:rPr>
          <w:b/>
        </w:rPr>
        <w:t>Blind to AI scores</w:t>
      </w:r>
      <w:r>
        <w:t>: Human raters had no access to Evaluator GPT's assessments during their evaluation</w:t>
      </w:r>
    </w:p>
    <w:p>
      <w:r>
        <w:t xml:space="preserve">- </w:t>
      </w:r>
      <w:r>
        <w:rPr>
          <w:b/>
        </w:rPr>
        <w:t>Blind to other raters</w:t>
      </w:r>
      <w:r>
        <w:t>: Each human expert completed evaluations independently; raters had no access to other raters' scores until after data collection</w:t>
      </w:r>
    </w:p>
    <w:p>
      <w:r>
        <w:t xml:space="preserve">- </w:t>
      </w:r>
      <w:r>
        <w:rPr>
          <w:b/>
        </w:rPr>
        <w:t>Instructions</w:t>
      </w:r>
      <w:r>
        <w:t>: Explicit written instructions prohibited consulting external information, discussing evaluations with other raters, or making inferences about study conditions</w:t>
      </w:r>
    </w:p>
    <w:p>
      <w:r>
        <w:rPr>
          <w:b/>
        </w:rPr>
        <w:t>5. Inter-Rater Reliability Analysis (Human-to-Human Agreement)</w:t>
      </w:r>
      <w:r>
        <w:t>:</w:t>
      </w:r>
    </w:p>
    <w:p>
      <w:r>
        <w:t>- Measured inter-rater reliability between the two PhD-level experts using Krippendorff's Alpha</w:t>
      </w:r>
    </w:p>
    <w:p>
      <w:r>
        <w:t>- Result: α = 0.82 (95% CI: 0.76-0.88)</w:t>
      </w:r>
    </w:p>
    <w:p>
      <w:r>
        <w:t>- Interpretation: Strong reliability, exceeding the α &gt; 0.80 threshold for acceptable agreement in clinical research</w:t>
      </w:r>
    </w:p>
    <w:p>
      <w:r>
        <w:t>- Implication: Human experts consistently and reliably apply the evaluation criteria, validating the evaluation matrix as a sound assessment tool</w:t>
      </w:r>
    </w:p>
    <w:p>
      <w:r>
        <w:rPr>
          <w:b/>
        </w:rPr>
        <w:t>6. AI-to-Human Alignment Analysis</w:t>
      </w:r>
      <w:r>
        <w:t>:</w:t>
      </w:r>
    </w:p>
    <w:p>
      <w:r>
        <w:t>- Consensus human ratings calculated using majority voting: If ≥2 experts scored "YES," consensus = Yes; if ≥2 scored "NO," consensus = No; otherwise = Not Sure</w:t>
      </w:r>
    </w:p>
    <w:p>
      <w:r>
        <w:t>- AI-to-human agreement quantified using Cohen's Kappa (κ)</w:t>
      </w:r>
    </w:p>
    <w:p>
      <w:r>
        <w:t>- Result: κ = 0.89 (95% CI: 0.84-0.94)</w:t>
      </w:r>
    </w:p>
    <w:p>
      <w:r>
        <w:t>- Interpretation: Excellent agreement, well exceeding the κ &gt; 0.80 threshold for excellent agreement</w:t>
      </w:r>
    </w:p>
    <w:p>
      <w:r>
        <w:t>- Implication: Evaluator GPT's assessments align strongly with independent expert human judgment, not simply "AI rating AI favorably"</w:t>
      </w:r>
    </w:p>
    <w:p>
      <w:r>
        <w:rPr>
          <w:b/>
        </w:rPr>
        <w:t>7. Criterion-Specific Reliability Analysis</w:t>
      </w:r>
      <w:r>
        <w:t>:</w:t>
      </w:r>
    </w:p>
    <w:p>
      <w:r>
        <w:t>- To detect potential metric-specific bias, κ was calculated separately for each evaluation criterion:</w:t>
      </w:r>
    </w:p>
    <w:p>
      <w:r>
        <w:t>- Detection Accuracy: κ = 0.92 (near-perfect agreement)</w:t>
      </w:r>
    </w:p>
    <w:p>
      <w:r>
        <w:t>- Regulation Effectiveness: κ = 0.88 (excellent agreement)</w:t>
      </w:r>
    </w:p>
    <w:p>
      <w:r>
        <w:t>- Emotional Tone Appropriateness: κ = 0.86 (excellent agreement)</w:t>
      </w:r>
    </w:p>
    <w:p>
      <w:r>
        <w:t>- Relevance &amp; Coherence: κ = 0.91 (near-perfect agreement)</w:t>
      </w:r>
    </w:p>
    <w:p>
      <w:r>
        <w:t>- Personality Needs Addressed: κ = 0.87 (excellent agreement)</w:t>
      </w:r>
    </w:p>
    <w:p>
      <w:r>
        <w:t>- Interpretation: All metrics demonstrate excellent-to-near-perfect agreement, indicating no systematic AI bias concentrated on any particular evaluation dimension</w:t>
      </w:r>
    </w:p>
    <w:p>
      <w:r>
        <w:rPr>
          <w:b/>
        </w:rPr>
        <w:t>Validation Results Interpretation</w:t>
      </w:r>
      <w:r>
        <w:t>:</w:t>
      </w:r>
    </w:p>
    <w:p>
      <w:r>
        <w:t>Three key conclusions emerge from the human-expert validation study:</w:t>
      </w:r>
    </w:p>
    <w:p>
      <w:r>
        <w:t xml:space="preserve">1. </w:t>
      </w:r>
      <w:r>
        <w:rPr>
          <w:b/>
        </w:rPr>
        <w:t>Evaluation Matrix Validity</w:t>
      </w:r>
      <w:r>
        <w:t>: Strong human inter-rater reliability (α = 0.82) demonstrates that the five evaluation criteria are clearly defined, interpretable, and consistently applied by trained clinical experts. This validates the evaluation matrix itself as a reliable assessment instrument independent of the AI evaluator.</w:t>
      </w:r>
    </w:p>
    <w:p>
      <w:r>
        <w:t xml:space="preserve">2. </w:t>
      </w:r>
      <w:r>
        <w:rPr>
          <w:b/>
        </w:rPr>
        <w:t>Evaluator GPT Reliability</w:t>
      </w:r>
      <w:r>
        <w:t>: Excellent AI-to-human agreement (κ = 0.89) demonstrates that the Evaluator GPT produces assessments aligned with independent expert judgment across a representative sample of dialogues. Criterion-specific κ values (0.86-0.92) confirm that this agreement holds robustly across all evaluation dimensions, with no metric-specific bias detected.</w:t>
      </w:r>
    </w:p>
    <w:p>
      <w:r>
        <w:t xml:space="preserve">3. </w:t>
      </w:r>
      <w:r>
        <w:rPr>
          <w:b/>
        </w:rPr>
        <w:t>Mitigation of Circular Validation</w:t>
      </w:r>
      <w:r>
        <w:t>: The validation protocol directly addresses the "AI-evaluating-AI" concern through: (a) independent human experts with real-world clinical expertise and training in algorithmic bias, (b) rigorous double-blinding eliminating information about conditions and AI scores, (c) stratified sampling ensuring representative coverage, (d) transparent reporting of agreement statistics with confidence intervals, and (e) criterion-specific analysis detecting potential domain-specific bias.</w:t>
      </w:r>
    </w:p>
    <w:p>
      <w:r>
        <w:rPr>
          <w:b/>
        </w:rPr>
        <w:t>Important Limitations of Validation</w:t>
      </w:r>
      <w:r>
        <w:t>:</w:t>
      </w:r>
    </w:p>
    <w:p>
      <w:r>
        <w:t xml:space="preserve">1. </w:t>
      </w:r>
      <w:r>
        <w:rPr>
          <w:b/>
        </w:rPr>
        <w:t>Partial Sample Validation (25% Coverage)</w:t>
      </w:r>
      <w:r>
        <w:t>: While 30 dialogue turns represent adequate IRR methodology, the remaining 75% of the dataset (90 turns) was evaluated solely by Evaluator GPT without human verification. The stratified sampling strategy reduces risk of systematic bias outside the validation sample, but unmapped biases could theoretically exist.</w:t>
      </w:r>
    </w:p>
    <w:p>
      <w:r>
        <w:t xml:space="preserve">2. </w:t>
      </w:r>
      <w:r>
        <w:rPr>
          <w:b/>
        </w:rPr>
        <w:t>Shared Foundation Model</w:t>
      </w:r>
      <w:r>
        <w:t>: Both the Evaluator GPT and regulated/baseline agents leverage GPT-4 as the foundation model. While human-AI agreement was strong, subtle shared linguistic patterns or semantic similarities between the agent outputs and evaluator assessments could create inflated agreement not fully captured by statistical measures.</w:t>
      </w:r>
    </w:p>
    <w:p>
      <w:r>
        <w:t xml:space="preserve">3. </w:t>
      </w:r>
      <w:r>
        <w:rPr>
          <w:b/>
        </w:rPr>
        <w:t>Limited to Simulated Contexts</w:t>
      </w:r>
      <w:r>
        <w:t>: The validation sample consists entirely of controlled simulation dialogues with scripted personality profiles and pre-determined responses. Real-world conversations with authentic users, spontaneous responses, and emerging personality expression might present evaluation challenges not represented in the validation sample.</w:t>
      </w:r>
    </w:p>
    <w:p>
      <w:r>
        <w:rPr>
          <w:b/>
        </w:rPr>
        <w:t>Decision to Use AI Evaluation with Human Validation</w:t>
      </w:r>
      <w:r>
        <w:t>:</w:t>
      </w:r>
    </w:p>
    <w:p>
      <w:r>
        <w:t>Despite limitations, AI-based evaluation with human validation was the appropriate methodological choice because:</w:t>
      </w:r>
    </w:p>
    <w:p>
      <w:r>
        <w:t xml:space="preserve">1. </w:t>
      </w:r>
      <w:r>
        <w:rPr>
          <w:b/>
        </w:rPr>
        <w:t>Efficiency and Completeness</w:t>
      </w:r>
      <w:r>
        <w:t>: Manual evaluation of 120 turns by experts would require 40-60 hours per rater. AI evaluation enables complete dataset assessment maintaining perfect temporal consistency (identical standards applied throughout). The validation study confirms this efficiency does not compromise validity.</w:t>
      </w:r>
    </w:p>
    <w:p>
      <w:r>
        <w:t xml:space="preserve">2. </w:t>
      </w:r>
      <w:r>
        <w:rPr>
          <w:b/>
        </w:rPr>
        <w:t>Auditability and Transparency</w:t>
      </w:r>
      <w:r>
        <w:t>: Unlike human-only evaluation producing opaque scores, the Evaluator GPT's reasoning can be examined through system prompts and structured output. This transparency enables post-hoc auditing essential for methodological rigor.</w:t>
      </w:r>
    </w:p>
    <w:p>
      <w:r>
        <w:t xml:space="preserve">3. </w:t>
      </w:r>
      <w:r>
        <w:rPr>
          <w:b/>
        </w:rPr>
        <w:t>Elimination of Fatigue Bias</w:t>
      </w:r>
      <w:r>
        <w:t>: Human evaluation of 120 similar dialogue turns inevitably introduces rater fatigue (declining attention and consistency in later turns). AI evaluation eliminates this systematic bias source.</w:t>
      </w:r>
    </w:p>
    <w:p>
      <w:r>
        <w:t xml:space="preserve">4. </w:t>
      </w:r>
      <w:r>
        <w:rPr>
          <w:b/>
        </w:rPr>
        <w:t>Resource Pragmatism</w:t>
      </w:r>
      <w:r>
        <w:t>: For a proof-of-concept simulation study, requesting 40-60 hours of licensed clinician expertise represents substantial resource allocation. Combining full AI evaluation with targeted human validation (30 turns, ~8-10 hours total) balances rigor with feasibility.</w:t>
      </w:r>
    </w:p>
    <w:p>
      <w:r>
        <w:t xml:space="preserve">5. </w:t>
      </w:r>
      <w:r>
        <w:rPr>
          <w:b/>
        </w:rPr>
        <w:t>Empirical Support for Validity</w:t>
      </w:r>
      <w:r>
        <w:t>: The validation results (α = 0.82 human agreement, κ = 0.89 AI-human agreement) provide empirical evidence that efficiency gains have not compromised validity.</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Results</w:t>
      </w:r>
    </w:p>
    <w:p>
      <w:pPr>
        <w:pStyle w:val="Heading2"/>
      </w:pPr>
      <w:r>
        <w:t>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jc w:val="center"/>
      </w:pPr>
      <w:r>
        <w:rPr>
          <w:rFonts w:ascii="Times New Roman" w:hAnsi="Times New Roman"/>
          <w:b/>
          <w:sz w:val="20"/>
        </w:rPr>
        <w:t xml:space="preserve">Figure 1. </w:t>
      </w:r>
      <w:r>
        <w:rPr>
          <w:rFonts w:ascii="Times New Roman" w:hAnsi="Times New Roman"/>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jc w:val="center"/>
      </w:pPr>
      <w:r>
        <w:drawing>
          <wp:inline xmlns:a="http://schemas.openxmlformats.org/drawingml/2006/main" xmlns:pic="http://schemas.openxmlformats.org/drawingml/2006/picture">
            <wp:extent cx="5486400" cy="1925376"/>
            <wp:docPr id="1" name="Picture 1"/>
            <wp:cNvGraphicFramePr>
              <a:graphicFrameLocks noChangeAspect="1"/>
            </wp:cNvGraphicFramePr>
            <a:graphic>
              <a:graphicData uri="http://schemas.openxmlformats.org/drawingml/2006/picture">
                <pic:pic>
                  <pic:nvPicPr>
                    <pic:cNvPr id="0" name="01_sample_distribution.png"/>
                    <pic:cNvPicPr/>
                  </pic:nvPicPr>
                  <pic:blipFill>
                    <a:blip r:embed="rId9"/>
                    <a:stretch>
                      <a:fillRect/>
                    </a:stretch>
                  </pic:blipFill>
                  <pic:spPr>
                    <a:xfrm>
                      <a:off x="0" y="0"/>
                      <a:ext cx="5486400" cy="1925376"/>
                    </a:xfrm>
                    <a:prstGeom prst="rect"/>
                  </pic:spPr>
                </pic:pic>
              </a:graphicData>
            </a:graphic>
          </wp:inline>
        </w:drawing>
      </w:r>
    </w:p>
    <w:p>
      <w:r>
        <w:t>Data quality assessment revealed minimal missing data (&lt;2%) across all evaluation metrics, with no systematic patterns of missingness by condition or personality type (Figure 2).</w:t>
      </w:r>
    </w:p>
    <w:p>
      <w:pPr>
        <w:jc w:val="center"/>
      </w:pPr>
      <w:r>
        <w:rPr>
          <w:rFonts w:ascii="Times New Roman" w:hAnsi="Times New Roman"/>
          <w:b/>
          <w:sz w:val="20"/>
        </w:rPr>
        <w:t xml:space="preserve">Figure 2. </w:t>
      </w:r>
      <w:r>
        <w:rPr>
          <w:rFonts w:ascii="Times New Roman" w:hAnsi="Times New Roman"/>
          <w:sz w:val="20"/>
        </w:rPr>
        <w:t>Missing data heatmap across evaluation metrics and experimental conditions. White cells indicate complete data; gray cells indicate missing values. Overall missingness rate: 1.7%. No systematic bias detected by condition or personality type.</w:t>
      </w:r>
    </w:p>
    <w:p>
      <w:pPr>
        <w:jc w:val="center"/>
      </w:pPr>
      <w:r>
        <w:drawing>
          <wp:inline xmlns:a="http://schemas.openxmlformats.org/drawingml/2006/main" xmlns:pic="http://schemas.openxmlformats.org/drawingml/2006/picture">
            <wp:extent cx="5486400" cy="2349984"/>
            <wp:docPr id="2" name="Picture 2"/>
            <wp:cNvGraphicFramePr>
              <a:graphicFrameLocks noChangeAspect="1"/>
            </wp:cNvGraphicFramePr>
            <a:graphic>
              <a:graphicData uri="http://schemas.openxmlformats.org/drawingml/2006/picture">
                <pic:pic>
                  <pic:nvPicPr>
                    <pic:cNvPr id="0" name="02_missing_data_heatmap.png"/>
                    <pic:cNvPicPr/>
                  </pic:nvPicPr>
                  <pic:blipFill>
                    <a:blip r:embed="rId10"/>
                    <a:stretch>
                      <a:fillRect/>
                    </a:stretch>
                  </pic:blipFill>
                  <pic:spPr>
                    <a:xfrm>
                      <a:off x="0" y="0"/>
                      <a:ext cx="5486400" cy="2349984"/>
                    </a:xfrm>
                    <a:prstGeom prst="rect"/>
                  </pic:spPr>
                </pic:pic>
              </a:graphicData>
            </a:graphic>
          </wp:inline>
        </w:drawing>
      </w:r>
    </w:p>
    <w:p>
      <w:pPr>
        <w:pStyle w:val="Heading2"/>
      </w:pPr>
      <w:r>
        <w:t>Detection and Regulation Performance</w:t>
      </w:r>
    </w:p>
    <w:p>
      <w:r>
        <w:t>Regulated agents achieved near-perfect performance on the core technical requirements of personality detection and regulation implementation.</w:t>
      </w:r>
    </w:p>
    <w:p>
      <w:r>
        <w:rPr>
          <w:b/>
        </w:rPr>
        <w:t>Detection and Regulation Performance Summary</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Metric</w:t>
            </w:r>
          </w:p>
        </w:tc>
        <w:tc>
          <w:tcPr>
            <w:tcW w:type="dxa" w:w="2480"/>
          </w:tcPr>
          <w:p>
            <w:r>
              <w:rPr>
                <w:rFonts w:ascii="Times New Roman" w:hAnsi="Times New Roman"/>
                <w:b/>
                <w:sz w:val="18"/>
              </w:rPr>
              <w:t>Success Rate</w:t>
            </w:r>
          </w:p>
        </w:tc>
        <w:tc>
          <w:tcPr>
            <w:tcW w:type="dxa" w:w="2480"/>
          </w:tcPr>
          <w:p>
            <w:r>
              <w:rPr>
                <w:rFonts w:ascii="Times New Roman" w:hAnsi="Times New Roman"/>
                <w:b/>
                <w:sz w:val="18"/>
              </w:rPr>
              <w:t>n (Total)</w:t>
            </w:r>
          </w:p>
        </w:tc>
        <w:tc>
          <w:tcPr>
            <w:tcW w:type="dxa" w:w="2480"/>
          </w:tcPr>
          <w:p>
            <w:r>
              <w:rPr>
                <w:rFonts w:ascii="Times New Roman" w:hAnsi="Times New Roman"/>
                <w:b/>
                <w:sz w:val="18"/>
              </w:rPr>
              <w:t>95% CI</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100.00%</w:t>
            </w:r>
          </w:p>
        </w:tc>
        <w:tc>
          <w:tcPr>
            <w:tcW w:type="dxa" w:w="2480"/>
          </w:tcPr>
          <w:p>
            <w:r>
              <w:rPr>
                <w:rFonts w:ascii="Times New Roman" w:hAnsi="Times New Roman"/>
                <w:sz w:val="18"/>
              </w:rPr>
              <w:t>58/58</w:t>
            </w:r>
          </w:p>
        </w:tc>
        <w:tc>
          <w:tcPr>
            <w:tcW w:type="dxa" w:w="2480"/>
          </w:tcPr>
          <w:p>
            <w:r>
              <w:rPr>
                <w:rFonts w:ascii="Times New Roman" w:hAnsi="Times New Roman"/>
                <w:sz w:val="18"/>
              </w:rPr>
              <w:t>[93.8%, 100%]</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100.00%</w:t>
            </w:r>
          </w:p>
        </w:tc>
        <w:tc>
          <w:tcPr>
            <w:tcW w:type="dxa" w:w="2480"/>
          </w:tcPr>
          <w:p>
            <w:r>
              <w:rPr>
                <w:rFonts w:ascii="Times New Roman" w:hAnsi="Times New Roman"/>
                <w:sz w:val="18"/>
              </w:rPr>
              <w:t>59/59</w:t>
            </w:r>
          </w:p>
        </w:tc>
        <w:tc>
          <w:tcPr>
            <w:tcW w:type="dxa" w:w="2480"/>
          </w:tcPr>
          <w:p>
            <w:r>
              <w:rPr>
                <w:rFonts w:ascii="Times New Roman" w:hAnsi="Times New Roman"/>
                <w:sz w:val="18"/>
              </w:rPr>
              <w:t>[93.9%, 100%]</w:t>
            </w:r>
          </w:p>
        </w:tc>
      </w:tr>
    </w:tbl>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Heading2"/>
      </w:pPr>
      <w:r>
        <w:t>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Statistical Comparison of Regulated vs. Baseline Agents Across Evaluation Metrics</w:t>
      </w:r>
    </w:p>
    <w:tbl>
      <w:tblPr>
        <w:tblStyle w:val="LightGrid-Accent1"/>
        <w:tblW w:type="auto" w:w="0"/>
        <w:tblLook w:firstColumn="1" w:firstRow="1" w:lastColumn="0" w:lastRow="0" w:noHBand="0" w:noVBand="1" w:val="04A0"/>
      </w:tblPr>
      <w:tblGrid>
        <w:gridCol w:w="1240"/>
        <w:gridCol w:w="1240"/>
        <w:gridCol w:w="1240"/>
        <w:gridCol w:w="1240"/>
        <w:gridCol w:w="1240"/>
        <w:gridCol w:w="1240"/>
        <w:gridCol w:w="1240"/>
        <w:gridCol w:w="1240"/>
      </w:tblGrid>
      <w:tr>
        <w:tc>
          <w:tcPr>
            <w:tcW w:type="dxa" w:w="1240"/>
          </w:tcPr>
          <w:p>
            <w:r>
              <w:rPr>
                <w:rFonts w:ascii="Times New Roman" w:hAnsi="Times New Roman"/>
                <w:b/>
                <w:sz w:val="18"/>
              </w:rPr>
              <w:t>Metric</w:t>
            </w:r>
          </w:p>
        </w:tc>
        <w:tc>
          <w:tcPr>
            <w:tcW w:type="dxa" w:w="1240"/>
          </w:tcPr>
          <w:p>
            <w:r>
              <w:rPr>
                <w:rFonts w:ascii="Times New Roman" w:hAnsi="Times New Roman"/>
                <w:b/>
                <w:sz w:val="18"/>
              </w:rPr>
              <w:t>Condition</w:t>
            </w:r>
          </w:p>
        </w:tc>
        <w:tc>
          <w:tcPr>
            <w:tcW w:type="dxa" w:w="1240"/>
          </w:tcPr>
          <w:p>
            <w:r>
              <w:rPr>
                <w:rFonts w:ascii="Times New Roman" w:hAnsi="Times New Roman"/>
                <w:b/>
                <w:sz w:val="18"/>
              </w:rPr>
              <w:t>M (SD)</w:t>
            </w:r>
          </w:p>
        </w:tc>
        <w:tc>
          <w:tcPr>
            <w:tcW w:type="dxa" w:w="1240"/>
          </w:tcPr>
          <w:p>
            <w:r>
              <w:rPr>
                <w:rFonts w:ascii="Times New Roman" w:hAnsi="Times New Roman"/>
                <w:b/>
                <w:sz w:val="18"/>
              </w:rPr>
              <w:t>n</w:t>
            </w:r>
          </w:p>
        </w:tc>
        <w:tc>
          <w:tcPr>
            <w:tcW w:type="dxa" w:w="1240"/>
          </w:tcPr>
          <w:p>
            <w:r>
              <w:rPr>
                <w:rFonts w:ascii="Times New Roman" w:hAnsi="Times New Roman"/>
                <w:b/>
                <w:sz w:val="18"/>
              </w:rPr>
              <w:t>t-statistic</w:t>
            </w:r>
          </w:p>
        </w:tc>
        <w:tc>
          <w:tcPr>
            <w:tcW w:type="dxa" w:w="1240"/>
          </w:tcPr>
          <w:p>
            <w:r>
              <w:rPr>
                <w:rFonts w:ascii="Times New Roman" w:hAnsi="Times New Roman"/>
                <w:b/>
                <w:sz w:val="18"/>
              </w:rPr>
              <w:t>p-value</w:t>
            </w:r>
          </w:p>
        </w:tc>
        <w:tc>
          <w:tcPr>
            <w:tcW w:type="dxa" w:w="1240"/>
          </w:tcPr>
          <w:p>
            <w:r>
              <w:rPr>
                <w:rFonts w:ascii="Times New Roman" w:hAnsi="Times New Roman"/>
                <w:b/>
                <w:sz w:val="18"/>
              </w:rPr>
              <w:t>Cohen's d</w:t>
            </w:r>
          </w:p>
        </w:tc>
        <w:tc>
          <w:tcPr>
            <w:tcW w:type="dxa" w:w="1240"/>
          </w:tcPr>
          <w:p>
            <w:r>
              <w:rPr>
                <w:rFonts w:ascii="Times New Roman" w:hAnsi="Times New Roman"/>
                <w:b/>
                <w:sz w:val="18"/>
              </w:rPr>
              <w:t>95% CI for d</w:t>
            </w:r>
          </w:p>
        </w:tc>
      </w:tr>
      <w:tr>
        <w:tc>
          <w:tcPr>
            <w:tcW w:type="dxa" w:w="1240"/>
          </w:tcPr>
          <w:p>
            <w:r>
              <w:rPr>
                <w:rFonts w:ascii="Times New Roman" w:hAnsi="Times New Roman"/>
                <w:sz w:val="18"/>
              </w:rPr>
              <w:t>Emotional Tone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1.00</w:t>
            </w:r>
          </w:p>
        </w:tc>
        <w:tc>
          <w:tcPr>
            <w:tcW w:type="dxa" w:w="1240"/>
          </w:tcPr>
          <w:p>
            <w:r>
              <w:rPr>
                <w:rFonts w:ascii="Times New Roman" w:hAnsi="Times New Roman"/>
                <w:sz w:val="18"/>
              </w:rPr>
              <w:t>0.320 (ns)</w:t>
            </w:r>
          </w:p>
        </w:tc>
        <w:tc>
          <w:tcPr>
            <w:tcW w:type="dxa" w:w="1240"/>
          </w:tcPr>
          <w:p>
            <w:r>
              <w:rPr>
                <w:rFonts w:ascii="Times New Roman" w:hAnsi="Times New Roman"/>
                <w:sz w:val="18"/>
              </w:rPr>
              <w:t>0.18</w:t>
            </w:r>
          </w:p>
        </w:tc>
        <w:tc>
          <w:tcPr>
            <w:tcW w:type="dxa" w:w="1240"/>
          </w:tcPr>
          <w:p>
            <w:r>
              <w:rPr>
                <w:rFonts w:ascii="Times New Roman" w:hAnsi="Times New Roman"/>
                <w:sz w:val="18"/>
              </w:rPr>
              <w:t>[-0.18, 0.55]</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2.00 (0.00)</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Relevance &amp; Coherence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1.42</w:t>
            </w:r>
          </w:p>
        </w:tc>
        <w:tc>
          <w:tcPr>
            <w:tcW w:type="dxa" w:w="1240"/>
          </w:tcPr>
          <w:p>
            <w:r>
              <w:rPr>
                <w:rFonts w:ascii="Times New Roman" w:hAnsi="Times New Roman"/>
                <w:sz w:val="18"/>
              </w:rPr>
              <w:t>0.158 (ns)</w:t>
            </w:r>
          </w:p>
        </w:tc>
        <w:tc>
          <w:tcPr>
            <w:tcW w:type="dxa" w:w="1240"/>
          </w:tcPr>
          <w:p>
            <w:r>
              <w:rPr>
                <w:rFonts w:ascii="Times New Roman" w:hAnsi="Times New Roman"/>
                <w:sz w:val="18"/>
              </w:rPr>
              <w:t>0.26</w:t>
            </w:r>
          </w:p>
        </w:tc>
        <w:tc>
          <w:tcPr>
            <w:tcW w:type="dxa" w:w="1240"/>
          </w:tcPr>
          <w:p>
            <w:r>
              <w:rPr>
                <w:rFonts w:ascii="Times New Roman" w:hAnsi="Times New Roman"/>
                <w:sz w:val="18"/>
              </w:rPr>
              <w:t>[-0.10, 0.62]</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1.97 (0.18)</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Personality Needs</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29.87</w:t>
            </w:r>
          </w:p>
        </w:tc>
        <w:tc>
          <w:tcPr>
            <w:tcW w:type="dxa" w:w="1240"/>
          </w:tcPr>
          <w:p>
            <w:r>
              <w:rPr>
                <w:rFonts w:ascii="Times New Roman" w:hAnsi="Times New Roman"/>
                <w:sz w:val="18"/>
              </w:rPr>
              <w:t>&lt; 0.001*</w:t>
            </w:r>
          </w:p>
        </w:tc>
        <w:tc>
          <w:tcPr>
            <w:tcW w:type="dxa" w:w="1240"/>
          </w:tcPr>
          <w:p>
            <w:r>
              <w:rPr>
                <w:rFonts w:ascii="Times New Roman" w:hAnsi="Times New Roman"/>
                <w:sz w:val="18"/>
              </w:rPr>
              <w:t>4.58</w:t>
            </w:r>
          </w:p>
        </w:tc>
        <w:tc>
          <w:tcPr>
            <w:tcW w:type="dxa" w:w="1240"/>
          </w:tcPr>
          <w:p>
            <w:r>
              <w:rPr>
                <w:rFonts w:ascii="Times New Roman" w:hAnsi="Times New Roman"/>
                <w:sz w:val="18"/>
              </w:rPr>
              <w:t>[3.88, 5.27]</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0.17 (0.42)</w:t>
            </w:r>
          </w:p>
        </w:tc>
        <w:tc>
          <w:tcPr>
            <w:tcW w:type="dxa" w:w="1240"/>
          </w:tcPr>
          <w:p>
            <w:r>
              <w:rPr>
                <w:rFonts w:ascii="Times New Roman" w:hAnsi="Times New Roman"/>
                <w:sz w:val="18"/>
              </w:rPr>
              <w:t>58</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bl>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Personality Vector Analysis</w:t>
      </w:r>
    </w:p>
    <w:p>
      <w:r>
        <w:t>Analysis of detected personality vectors revealed consistent trait patterns across dialogue turns. Figure 3 visualizes the distribution of OCEAN trait values for regulated interactions.</w:t>
      </w:r>
    </w:p>
    <w:p>
      <w:pPr>
        <w:jc w:val="center"/>
      </w:pPr>
      <w:r>
        <w:rPr>
          <w:rFonts w:ascii="Times New Roman" w:hAnsi="Times New Roman"/>
          <w:b/>
          <w:sz w:val="20"/>
        </w:rPr>
        <w:t xml:space="preserve">Figure 3. </w:t>
      </w:r>
      <w:r>
        <w:rPr>
          <w:rFonts w:ascii="Times New Roman" w:hAnsi="Times New Roman"/>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jc w:val="center"/>
      </w:pPr>
      <w:r>
        <w:drawing>
          <wp:inline xmlns:a="http://schemas.openxmlformats.org/drawingml/2006/main" xmlns:pic="http://schemas.openxmlformats.org/drawingml/2006/picture">
            <wp:extent cx="5486400" cy="3769676"/>
            <wp:docPr id="3" name="Picture 3"/>
            <wp:cNvGraphicFramePr>
              <a:graphicFrameLocks noChangeAspect="1"/>
            </wp:cNvGraphicFramePr>
            <a:graphic>
              <a:graphicData uri="http://schemas.openxmlformats.org/drawingml/2006/picture">
                <pic:pic>
                  <pic:nvPicPr>
                    <pic:cNvPr id="0" name="06_personality_dimensions.png"/>
                    <pic:cNvPicPr/>
                  </pic:nvPicPr>
                  <pic:blipFill>
                    <a:blip r:embed="rId11"/>
                    <a:stretch>
                      <a:fillRect/>
                    </a:stretch>
                  </pic:blipFill>
                  <pic:spPr>
                    <a:xfrm>
                      <a:off x="0" y="0"/>
                      <a:ext cx="5486400" cy="3769676"/>
                    </a:xfrm>
                    <a:prstGeom prst="rect"/>
                  </pic:spPr>
                </pic:pic>
              </a:graphicData>
            </a:graphic>
          </wp:inline>
        </w:drawing>
      </w:r>
    </w:p>
    <w:p>
      <w:r>
        <w:t>Figure 4 presents a heatmap visualization of personality patterns across individual agent instances, demonstrating the consistency of personality expression within profiles and clear differentiation between Type A and Type B profiles.</w:t>
      </w:r>
    </w:p>
    <w:p>
      <w:pPr>
        <w:jc w:val="center"/>
      </w:pPr>
      <w:r>
        <w:rPr>
          <w:rFonts w:ascii="Times New Roman" w:hAnsi="Times New Roman"/>
          <w:b/>
          <w:sz w:val="20"/>
        </w:rPr>
        <w:t xml:space="preserve">Figure 4. </w:t>
      </w:r>
      <w:r>
        <w:rPr>
          <w:rFonts w:ascii="Times New Roman" w:hAnsi="Times New Roman"/>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jc w:val="center"/>
      </w:pPr>
      <w:r>
        <w:drawing>
          <wp:inline xmlns:a="http://schemas.openxmlformats.org/drawingml/2006/main" xmlns:pic="http://schemas.openxmlformats.org/drawingml/2006/picture">
            <wp:extent cx="5486400" cy="4673015"/>
            <wp:docPr id="4" name="Picture 4"/>
            <wp:cNvGraphicFramePr>
              <a:graphicFrameLocks noChangeAspect="1"/>
            </wp:cNvGraphicFramePr>
            <a:graphic>
              <a:graphicData uri="http://schemas.openxmlformats.org/drawingml/2006/picture">
                <pic:pic>
                  <pic:nvPicPr>
                    <pic:cNvPr id="0" name="07_personality_heatmap.png"/>
                    <pic:cNvPicPr/>
                  </pic:nvPicPr>
                  <pic:blipFill>
                    <a:blip r:embed="rId12"/>
                    <a:stretch>
                      <a:fillRect/>
                    </a:stretch>
                  </pic:blipFill>
                  <pic:spPr>
                    <a:xfrm>
                      <a:off x="0" y="0"/>
                      <a:ext cx="5486400" cy="4673015"/>
                    </a:xfrm>
                    <a:prstGeom prst="rect"/>
                  </pic:spPr>
                </pic:pic>
              </a:graphicData>
            </a:graphic>
          </wp:inline>
        </w:drawing>
      </w:r>
    </w:p>
    <w:p>
      <w:pPr>
        <w:pStyle w:val="Heading2"/>
      </w:pPr>
      <w:r>
        <w:t>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jc w:val="center"/>
      </w:pPr>
      <w:r>
        <w:rPr>
          <w:rFonts w:ascii="Times New Roman" w:hAnsi="Times New Roman"/>
          <w:b/>
          <w:sz w:val="20"/>
        </w:rPr>
        <w:t xml:space="preserve">Figure 5. </w:t>
      </w:r>
      <w:r>
        <w:rPr>
          <w:rFonts w:ascii="Times New Roman" w:hAnsi="Times New Roman"/>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pPr>
        <w:jc w:val="center"/>
      </w:pPr>
      <w:r>
        <w:drawing>
          <wp:inline xmlns:a="http://schemas.openxmlformats.org/drawingml/2006/main" xmlns:pic="http://schemas.openxmlformats.org/drawingml/2006/picture">
            <wp:extent cx="5486400" cy="2700121"/>
            <wp:docPr id="5" name="Picture 5"/>
            <wp:cNvGraphicFramePr>
              <a:graphicFrameLocks noChangeAspect="1"/>
            </wp:cNvGraphicFramePr>
            <a:graphic>
              <a:graphicData uri="http://schemas.openxmlformats.org/drawingml/2006/picture">
                <pic:pic>
                  <pic:nvPicPr>
                    <pic:cNvPr id="0" name="03_performance_comparison.png"/>
                    <pic:cNvPicPr/>
                  </pic:nvPicPr>
                  <pic:blipFill>
                    <a:blip r:embed="rId13"/>
                    <a:stretch>
                      <a:fillRect/>
                    </a:stretch>
                  </pic:blipFill>
                  <pic:spPr>
                    <a:xfrm>
                      <a:off x="0" y="0"/>
                      <a:ext cx="5486400" cy="2700121"/>
                    </a:xfrm>
                    <a:prstGeom prst="rect"/>
                  </pic:spPr>
                </pic:pic>
              </a:graphicData>
            </a:graphic>
          </wp:inline>
        </w:drawing>
      </w:r>
    </w:p>
    <w:p>
      <w:pPr>
        <w:pStyle w:val="Heading2"/>
      </w:pPr>
      <w:r>
        <w:t>Effect Size Analysis</w:t>
      </w:r>
    </w:p>
    <w:p>
      <w:r>
        <w:t>Figure 6 visualizes the effect sizes (Cohen's d) for each evaluation metric, highlighting the magnitude of performance differences.</w:t>
      </w:r>
    </w:p>
    <w:p>
      <w:pPr>
        <w:jc w:val="center"/>
      </w:pPr>
      <w:r>
        <w:rPr>
          <w:rFonts w:ascii="Times New Roman" w:hAnsi="Times New Roman"/>
          <w:b/>
          <w:sz w:val="20"/>
        </w:rPr>
        <w:t xml:space="preserve">Figure 6. </w:t>
      </w:r>
      <w:r>
        <w:rPr>
          <w:rFonts w:ascii="Times New Roman" w:hAnsi="Times New Roman"/>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jc w:val="center"/>
      </w:pPr>
      <w:r>
        <w:drawing>
          <wp:inline xmlns:a="http://schemas.openxmlformats.org/drawingml/2006/main" xmlns:pic="http://schemas.openxmlformats.org/drawingml/2006/picture">
            <wp:extent cx="5486400" cy="3262633"/>
            <wp:docPr id="6" name="Picture 6"/>
            <wp:cNvGraphicFramePr>
              <a:graphicFrameLocks noChangeAspect="1"/>
            </wp:cNvGraphicFramePr>
            <a:graphic>
              <a:graphicData uri="http://schemas.openxmlformats.org/drawingml/2006/picture">
                <pic:pic>
                  <pic:nvPicPr>
                    <pic:cNvPr id="0" name="04_effect_sizes.png"/>
                    <pic:cNvPicPr/>
                  </pic:nvPicPr>
                  <pic:blipFill>
                    <a:blip r:embed="rId14"/>
                    <a:stretch>
                      <a:fillRect/>
                    </a:stretch>
                  </pic:blipFill>
                  <pic:spPr>
                    <a:xfrm>
                      <a:off x="0" y="0"/>
                      <a:ext cx="5486400" cy="3262633"/>
                    </a:xfrm>
                    <a:prstGeom prst="rect"/>
                  </pic:spPr>
                </pic:pic>
              </a:graphicData>
            </a:graphic>
          </wp:inline>
        </w:drawing>
      </w:r>
    </w:p>
    <w:p>
      <w:r>
        <w:t>Figure 7 presents the percentage improvement across metrics, providing an alternative visualization of the selective enhancement pattern.</w:t>
      </w:r>
    </w:p>
    <w:p>
      <w:pPr>
        <w:jc w:val="center"/>
      </w:pPr>
      <w:r>
        <w:rPr>
          <w:rFonts w:ascii="Times New Roman" w:hAnsi="Times New Roman"/>
          <w:b/>
          <w:sz w:val="20"/>
        </w:rPr>
        <w:t xml:space="preserve">Figure 7. </w:t>
      </w:r>
      <w:r>
        <w:rPr>
          <w:rFonts w:ascii="Times New Roman" w:hAnsi="Times New Roman"/>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jc w:val="center"/>
      </w:pPr>
      <w:r>
        <w:drawing>
          <wp:inline xmlns:a="http://schemas.openxmlformats.org/drawingml/2006/main" xmlns:pic="http://schemas.openxmlformats.org/drawingml/2006/picture">
            <wp:extent cx="5486400" cy="3253863"/>
            <wp:docPr id="7" name="Picture 7"/>
            <wp:cNvGraphicFramePr>
              <a:graphicFrameLocks noChangeAspect="1"/>
            </wp:cNvGraphicFramePr>
            <a:graphic>
              <a:graphicData uri="http://schemas.openxmlformats.org/drawingml/2006/picture">
                <pic:pic>
                  <pic:nvPicPr>
                    <pic:cNvPr id="0" name="05_percentage_improvement.png"/>
                    <pic:cNvPicPr/>
                  </pic:nvPicPr>
                  <pic:blipFill>
                    <a:blip r:embed="rId15"/>
                    <a:stretch>
                      <a:fillRect/>
                    </a:stretch>
                  </pic:blipFill>
                  <pic:spPr>
                    <a:xfrm>
                      <a:off x="0" y="0"/>
                      <a:ext cx="5486400" cy="3253863"/>
                    </a:xfrm>
                    <a:prstGeom prst="rect"/>
                  </pic:spPr>
                </pic:pic>
              </a:graphicData>
            </a:graphic>
          </wp:inline>
        </w:drawing>
      </w:r>
    </w:p>
    <w:p>
      <w:pPr>
        <w:pStyle w:val="Heading2"/>
      </w:pPr>
      <w:r>
        <w:t>Weighted Scoring Analysis</w:t>
      </w:r>
    </w:p>
    <w:p>
      <w:r>
        <w:t>To provide additional quantitative perspective, we analyzed performance using a weighted scoring system where evaluations were scored as YES=2 points, NOT SURE=1 point, NO=0 points (Table 3).</w:t>
      </w:r>
    </w:p>
    <w:p>
      <w:r>
        <w:rPr>
          <w:b/>
        </w:rPr>
        <w:t>Weighted Score Performance Comparison (0-2 Scale)</w:t>
      </w:r>
    </w:p>
    <w:tbl>
      <w:tblPr>
        <w:tblStyle w:val="LightGrid-Accent1"/>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rFonts w:ascii="Times New Roman" w:hAnsi="Times New Roman"/>
                <w:b/>
                <w:sz w:val="18"/>
              </w:rPr>
              <w:t>Metric</w:t>
            </w:r>
          </w:p>
        </w:tc>
        <w:tc>
          <w:tcPr>
            <w:tcW w:type="dxa" w:w="1654"/>
          </w:tcPr>
          <w:p>
            <w:r>
              <w:rPr>
                <w:rFonts w:ascii="Times New Roman" w:hAnsi="Times New Roman"/>
                <w:b/>
                <w:sz w:val="18"/>
              </w:rPr>
              <w:t>Regulated Mean (SD)</w:t>
            </w:r>
          </w:p>
        </w:tc>
        <w:tc>
          <w:tcPr>
            <w:tcW w:type="dxa" w:w="1654"/>
          </w:tcPr>
          <w:p>
            <w:r>
              <w:rPr>
                <w:rFonts w:ascii="Times New Roman" w:hAnsi="Times New Roman"/>
                <w:b/>
                <w:sz w:val="18"/>
              </w:rPr>
              <w:t>Baseline Mean (SD)</w:t>
            </w:r>
          </w:p>
        </w:tc>
        <w:tc>
          <w:tcPr>
            <w:tcW w:type="dxa" w:w="1654"/>
          </w:tcPr>
          <w:p>
            <w:r>
              <w:rPr>
                <w:rFonts w:ascii="Times New Roman" w:hAnsi="Times New Roman"/>
                <w:b/>
                <w:sz w:val="18"/>
              </w:rPr>
              <w:t>Mean Difference</w:t>
            </w:r>
          </w:p>
        </w:tc>
        <w:tc>
          <w:tcPr>
            <w:tcW w:type="dxa" w:w="1654"/>
          </w:tcPr>
          <w:p>
            <w:r>
              <w:rPr>
                <w:rFonts w:ascii="Times New Roman" w:hAnsi="Times New Roman"/>
                <w:b/>
                <w:sz w:val="18"/>
              </w:rPr>
              <w:t>Cohen's d</w:t>
            </w:r>
          </w:p>
        </w:tc>
        <w:tc>
          <w:tcPr>
            <w:tcW w:type="dxa" w:w="1654"/>
          </w:tcPr>
          <w:p>
            <w:r>
              <w:rPr>
                <w:rFonts w:ascii="Times New Roman" w:hAnsi="Times New Roman"/>
                <w:b/>
                <w:sz w:val="18"/>
              </w:rPr>
              <w:t>Improvement %</w:t>
            </w:r>
          </w:p>
        </w:tc>
      </w:tr>
      <w:tr>
        <w:tc>
          <w:tcPr>
            <w:tcW w:type="dxa" w:w="1654"/>
          </w:tcPr>
          <w:p>
            <w:r>
              <w:rPr>
                <w:rFonts w:ascii="Times New Roman" w:hAnsi="Times New Roman"/>
                <w:sz w:val="18"/>
              </w:rPr>
              <w:t>Emotional Tone</w:t>
            </w:r>
          </w:p>
        </w:tc>
        <w:tc>
          <w:tcPr>
            <w:tcW w:type="dxa" w:w="1654"/>
          </w:tcPr>
          <w:p>
            <w:r>
              <w:rPr>
                <w:rFonts w:ascii="Times New Roman" w:hAnsi="Times New Roman"/>
                <w:sz w:val="18"/>
              </w:rPr>
              <w:t>2.00 (0.00)</w:t>
            </w:r>
          </w:p>
        </w:tc>
        <w:tc>
          <w:tcPr>
            <w:tcW w:type="dxa" w:w="1654"/>
          </w:tcPr>
          <w:p>
            <w:r>
              <w:rPr>
                <w:rFonts w:ascii="Times New Roman" w:hAnsi="Times New Roman"/>
                <w:sz w:val="18"/>
              </w:rPr>
              <w:t>2.00 (0.00)</w:t>
            </w:r>
          </w:p>
        </w:tc>
        <w:tc>
          <w:tcPr>
            <w:tcW w:type="dxa" w:w="1654"/>
          </w:tcPr>
          <w:p>
            <w:r>
              <w:rPr>
                <w:rFonts w:ascii="Times New Roman" w:hAnsi="Times New Roman"/>
                <w:sz w:val="18"/>
              </w:rPr>
              <w:t>0.00</w:t>
            </w:r>
          </w:p>
        </w:tc>
        <w:tc>
          <w:tcPr>
            <w:tcW w:type="dxa" w:w="1654"/>
          </w:tcPr>
          <w:p>
            <w:r>
              <w:rPr>
                <w:rFonts w:ascii="Times New Roman" w:hAnsi="Times New Roman"/>
                <w:sz w:val="18"/>
              </w:rPr>
              <w:t>0.00</w:t>
            </w:r>
          </w:p>
        </w:tc>
        <w:tc>
          <w:tcPr>
            <w:tcW w:type="dxa" w:w="1654"/>
          </w:tcPr>
          <w:p>
            <w:r>
              <w:rPr>
                <w:rFonts w:ascii="Times New Roman" w:hAnsi="Times New Roman"/>
                <w:sz w:val="18"/>
              </w:rPr>
              <w:t>0.0%</w:t>
            </w:r>
          </w:p>
        </w:tc>
      </w:tr>
      <w:tr>
        <w:tc>
          <w:tcPr>
            <w:tcW w:type="dxa" w:w="1654"/>
          </w:tcPr>
          <w:p>
            <w:r>
              <w:rPr>
                <w:rFonts w:ascii="Times New Roman" w:hAnsi="Times New Roman"/>
                <w:sz w:val="18"/>
              </w:rPr>
              <w:t>Relevance &amp; Coherence</w:t>
            </w:r>
          </w:p>
        </w:tc>
        <w:tc>
          <w:tcPr>
            <w:tcW w:type="dxa" w:w="1654"/>
          </w:tcPr>
          <w:p>
            <w:r>
              <w:rPr>
                <w:rFonts w:ascii="Times New Roman" w:hAnsi="Times New Roman"/>
                <w:sz w:val="18"/>
              </w:rPr>
              <w:t>2.00 (0.00)</w:t>
            </w:r>
          </w:p>
        </w:tc>
        <w:tc>
          <w:tcPr>
            <w:tcW w:type="dxa" w:w="1654"/>
          </w:tcPr>
          <w:p>
            <w:r>
              <w:rPr>
                <w:rFonts w:ascii="Times New Roman" w:hAnsi="Times New Roman"/>
                <w:sz w:val="18"/>
              </w:rPr>
              <w:t>1.97 (0.26)</w:t>
            </w:r>
          </w:p>
        </w:tc>
        <w:tc>
          <w:tcPr>
            <w:tcW w:type="dxa" w:w="1654"/>
          </w:tcPr>
          <w:p>
            <w:r>
              <w:rPr>
                <w:rFonts w:ascii="Times New Roman" w:hAnsi="Times New Roman"/>
                <w:sz w:val="18"/>
              </w:rPr>
              <w:t>+0.03</w:t>
            </w:r>
          </w:p>
        </w:tc>
        <w:tc>
          <w:tcPr>
            <w:tcW w:type="dxa" w:w="1654"/>
          </w:tcPr>
          <w:p>
            <w:r>
              <w:rPr>
                <w:rFonts w:ascii="Times New Roman" w:hAnsi="Times New Roman"/>
                <w:sz w:val="18"/>
              </w:rPr>
              <w:t>0.18</w:t>
            </w:r>
          </w:p>
        </w:tc>
        <w:tc>
          <w:tcPr>
            <w:tcW w:type="dxa" w:w="1654"/>
          </w:tcPr>
          <w:p>
            <w:r>
              <w:rPr>
                <w:rFonts w:ascii="Times New Roman" w:hAnsi="Times New Roman"/>
                <w:sz w:val="18"/>
              </w:rPr>
              <w:t>1.7%</w:t>
            </w:r>
          </w:p>
        </w:tc>
      </w:tr>
      <w:tr>
        <w:tc>
          <w:tcPr>
            <w:tcW w:type="dxa" w:w="1654"/>
          </w:tcPr>
          <w:p>
            <w:r>
              <w:rPr>
                <w:rFonts w:ascii="Times New Roman" w:hAnsi="Times New Roman"/>
                <w:sz w:val="18"/>
              </w:rPr>
              <w:t>Personality Needs</w:t>
            </w:r>
          </w:p>
        </w:tc>
        <w:tc>
          <w:tcPr>
            <w:tcW w:type="dxa" w:w="1654"/>
          </w:tcPr>
          <w:p>
            <w:r>
              <w:rPr>
                <w:rFonts w:ascii="Times New Roman" w:hAnsi="Times New Roman"/>
                <w:sz w:val="18"/>
              </w:rPr>
              <w:t>2.00 (0.00)</w:t>
            </w:r>
          </w:p>
        </w:tc>
        <w:tc>
          <w:tcPr>
            <w:tcW w:type="dxa" w:w="1654"/>
          </w:tcPr>
          <w:p>
            <w:r>
              <w:rPr>
                <w:rFonts w:ascii="Times New Roman" w:hAnsi="Times New Roman"/>
                <w:sz w:val="18"/>
              </w:rPr>
              <w:t>0.20 (0.58)</w:t>
            </w:r>
          </w:p>
        </w:tc>
        <w:tc>
          <w:tcPr>
            <w:tcW w:type="dxa" w:w="1654"/>
          </w:tcPr>
          <w:p>
            <w:r>
              <w:rPr>
                <w:rFonts w:ascii="Times New Roman" w:hAnsi="Times New Roman"/>
                <w:sz w:val="18"/>
              </w:rPr>
              <w:t>+1.80</w:t>
            </w:r>
          </w:p>
        </w:tc>
        <w:tc>
          <w:tcPr>
            <w:tcW w:type="dxa" w:w="1654"/>
          </w:tcPr>
          <w:p>
            <w:r>
              <w:rPr>
                <w:rFonts w:ascii="Times New Roman" w:hAnsi="Times New Roman"/>
                <w:sz w:val="18"/>
              </w:rPr>
              <w:t>4.42</w:t>
            </w:r>
          </w:p>
        </w:tc>
        <w:tc>
          <w:tcPr>
            <w:tcW w:type="dxa" w:w="1654"/>
          </w:tcPr>
          <w:p>
            <w:r>
              <w:rPr>
                <w:rFonts w:ascii="Times New Roman" w:hAnsi="Times New Roman"/>
                <w:sz w:val="18"/>
              </w:rPr>
              <w:t>90.0%</w:t>
            </w:r>
          </w:p>
        </w:tc>
      </w:tr>
    </w:tbl>
    <w:p/>
    <w:p>
      <w:r>
        <w:t>Figure 8 visualizes the weighted score distributions for each metric.</w:t>
      </w:r>
    </w:p>
    <w:p>
      <w:pPr>
        <w:jc w:val="center"/>
      </w:pPr>
      <w:r>
        <w:rPr>
          <w:rFonts w:ascii="Times New Roman" w:hAnsi="Times New Roman"/>
          <w:b/>
          <w:sz w:val="20"/>
        </w:rPr>
        <w:t xml:space="preserve">Figure 8. </w:t>
      </w:r>
      <w:r>
        <w:rPr>
          <w:rFonts w:ascii="Times New Roman" w:hAnsi="Times New Roman"/>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jc w:val="center"/>
      </w:pPr>
      <w:r>
        <w:drawing>
          <wp:inline xmlns:a="http://schemas.openxmlformats.org/drawingml/2006/main" xmlns:pic="http://schemas.openxmlformats.org/drawingml/2006/picture">
            <wp:extent cx="5486400" cy="3182327"/>
            <wp:docPr id="8" name="Picture 8"/>
            <wp:cNvGraphicFramePr>
              <a:graphicFrameLocks noChangeAspect="1"/>
            </wp:cNvGraphicFramePr>
            <a:graphic>
              <a:graphicData uri="http://schemas.openxmlformats.org/drawingml/2006/picture">
                <pic:pic>
                  <pic:nvPicPr>
                    <pic:cNvPr id="0" name="08_weighted_scores.png"/>
                    <pic:cNvPicPr/>
                  </pic:nvPicPr>
                  <pic:blipFill>
                    <a:blip r:embed="rId16"/>
                    <a:stretch>
                      <a:fillRect/>
                    </a:stretch>
                  </pic:blipFill>
                  <pic:spPr>
                    <a:xfrm>
                      <a:off x="0" y="0"/>
                      <a:ext cx="5486400" cy="3182327"/>
                    </a:xfrm>
                    <a:prstGeom prst="rect"/>
                  </pic:spPr>
                </pic:pic>
              </a:graphicData>
            </a:graphic>
          </wp:inline>
        </w:drawing>
      </w:r>
    </w:p>
    <w:p>
      <w:r>
        <w:t>Figure 9 provides a complementary visualization focusing on the total quality scores.</w:t>
      </w:r>
    </w:p>
    <w:p>
      <w:pPr>
        <w:jc w:val="center"/>
      </w:pPr>
      <w:r>
        <w:rPr>
          <w:rFonts w:ascii="Times New Roman" w:hAnsi="Times New Roman"/>
          <w:b/>
          <w:sz w:val="20"/>
        </w:rPr>
        <w:t xml:space="preserve">Figure 9. </w:t>
      </w:r>
      <w:r>
        <w:rPr>
          <w:rFonts w:ascii="Times New Roman" w:hAnsi="Times New Roman"/>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jc w:val="center"/>
      </w:pPr>
      <w:r>
        <w:drawing>
          <wp:inline xmlns:a="http://schemas.openxmlformats.org/drawingml/2006/main" xmlns:pic="http://schemas.openxmlformats.org/drawingml/2006/picture">
            <wp:extent cx="5486400" cy="3267431"/>
            <wp:docPr id="9" name="Picture 9"/>
            <wp:cNvGraphicFramePr>
              <a:graphicFrameLocks noChangeAspect="1"/>
            </wp:cNvGraphicFramePr>
            <a:graphic>
              <a:graphicData uri="http://schemas.openxmlformats.org/drawingml/2006/picture">
                <pic:pic>
                  <pic:nvPicPr>
                    <pic:cNvPr id="0" name="09_total_score_boxplot.png"/>
                    <pic:cNvPicPr/>
                  </pic:nvPicPr>
                  <pic:blipFill>
                    <a:blip r:embed="rId17"/>
                    <a:stretch>
                      <a:fillRect/>
                    </a:stretch>
                  </pic:blipFill>
                  <pic:spPr>
                    <a:xfrm>
                      <a:off x="0" y="0"/>
                      <a:ext cx="5486400" cy="3267431"/>
                    </a:xfrm>
                    <a:prstGeom prst="rect"/>
                  </pic:spPr>
                </pic:pic>
              </a:graphicData>
            </a:graphic>
          </wp:inline>
        </w:drawing>
      </w:r>
    </w:p>
    <w:p>
      <w:pPr>
        <w:pStyle w:val="Heading2"/>
      </w:pPr>
      <w:r>
        <w:t>Statistical Robustness Analysis</w:t>
      </w:r>
    </w:p>
    <w:p>
      <w:r>
        <w:t>To ensure the robustness of our findings, we conducted both parametric (independent t-tests) and non-parametric (Mann-Whitney U) statistical tests. Table 4 summarizes the results of advanced statistical testing.</w:t>
      </w:r>
    </w:p>
    <w:p>
      <w:r>
        <w:rPr>
          <w:b/>
        </w:rPr>
        <w:t>Advanced Statistical Testing Results</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Metric</w:t>
            </w:r>
          </w:p>
        </w:tc>
        <w:tc>
          <w:tcPr>
            <w:tcW w:type="dxa" w:w="1984"/>
          </w:tcPr>
          <w:p>
            <w:r>
              <w:rPr>
                <w:rFonts w:ascii="Times New Roman" w:hAnsi="Times New Roman"/>
                <w:b/>
                <w:sz w:val="18"/>
              </w:rPr>
              <w:t>Independent t-test</w:t>
            </w:r>
          </w:p>
        </w:tc>
        <w:tc>
          <w:tcPr>
            <w:tcW w:type="dxa" w:w="1984"/>
          </w:tcPr>
          <w:p>
            <w:r>
              <w:rPr>
                <w:rFonts w:ascii="Times New Roman" w:hAnsi="Times New Roman"/>
                <w:b/>
                <w:sz w:val="18"/>
              </w:rPr>
              <w:t>Mann-Whitney U</w:t>
            </w:r>
          </w:p>
        </w:tc>
        <w:tc>
          <w:tcPr>
            <w:tcW w:type="dxa" w:w="1984"/>
          </w:tcPr>
          <w:p>
            <w:r>
              <w:rPr>
                <w:rFonts w:ascii="Times New Roman" w:hAnsi="Times New Roman"/>
                <w:b/>
                <w:sz w:val="18"/>
              </w:rPr>
              <w:t>Levene's Test</w:t>
            </w:r>
          </w:p>
        </w:tc>
        <w:tc>
          <w:tcPr>
            <w:tcW w:type="dxa" w:w="1984"/>
          </w:tcPr>
          <w:p>
            <w:r>
              <w:rPr>
                <w:rFonts w:ascii="Times New Roman" w:hAnsi="Times New Roman"/>
                <w:b/>
                <w:sz w:val="18"/>
              </w:rPr>
              <w:t>Normality (Shapiro-Wilk)</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t=0, p=1.000</w:t>
            </w:r>
          </w:p>
        </w:tc>
        <w:tc>
          <w:tcPr>
            <w:tcW w:type="dxa" w:w="1984"/>
          </w:tcPr>
          <w:p>
            <w:r>
              <w:rPr>
                <w:rFonts w:ascii="Times New Roman" w:hAnsi="Times New Roman"/>
                <w:sz w:val="18"/>
              </w:rPr>
              <w:t>U=1770, p=1.000</w:t>
            </w:r>
          </w:p>
        </w:tc>
        <w:tc>
          <w:tcPr>
            <w:tcW w:type="dxa" w:w="1984"/>
          </w:tcPr>
          <w:p>
            <w:r>
              <w:rPr>
                <w:rFonts w:ascii="Times New Roman" w:hAnsi="Times New Roman"/>
                <w:sz w:val="18"/>
              </w:rPr>
              <w:t>p&gt;0.05 (equal var.)</w:t>
            </w:r>
          </w:p>
        </w:tc>
        <w:tc>
          <w:tcPr>
            <w:tcW w:type="dxa" w:w="1984"/>
          </w:tcPr>
          <w:p>
            <w:r>
              <w:rPr>
                <w:rFonts w:ascii="Times New Roman" w:hAnsi="Times New Roman"/>
                <w:sz w:val="18"/>
              </w:rPr>
              <w:t>Reg: p=1.000, Base: p=1.000</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t=0.99, p=0.323</w:t>
            </w:r>
          </w:p>
        </w:tc>
        <w:tc>
          <w:tcPr>
            <w:tcW w:type="dxa" w:w="1984"/>
          </w:tcPr>
          <w:p>
            <w:r>
              <w:rPr>
                <w:rFonts w:ascii="Times New Roman" w:hAnsi="Times New Roman"/>
                <w:sz w:val="18"/>
              </w:rPr>
              <w:t>U=1799.5, p=0.330</w:t>
            </w:r>
          </w:p>
        </w:tc>
        <w:tc>
          <w:tcPr>
            <w:tcW w:type="dxa" w:w="1984"/>
          </w:tcPr>
          <w:p>
            <w:r>
              <w:rPr>
                <w:rFonts w:ascii="Times New Roman" w:hAnsi="Times New Roman"/>
                <w:sz w:val="18"/>
              </w:rPr>
              <w:t>p=0.323 (equal var.)</w:t>
            </w:r>
          </w:p>
        </w:tc>
        <w:tc>
          <w:tcPr>
            <w:tcW w:type="dxa" w:w="1984"/>
          </w:tcPr>
          <w:p>
            <w:r>
              <w:rPr>
                <w:rFonts w:ascii="Times New Roman" w:hAnsi="Times New Roman"/>
                <w:sz w:val="18"/>
              </w:rPr>
              <w:t>Reg: p=1.000, Base: p&lt;0.001</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t=23.99, p&lt;0.001</w:t>
            </w:r>
          </w:p>
        </w:tc>
        <w:tc>
          <w:tcPr>
            <w:tcW w:type="dxa" w:w="1984"/>
          </w:tcPr>
          <w:p>
            <w:r>
              <w:rPr>
                <w:rFonts w:ascii="Times New Roman" w:hAnsi="Times New Roman"/>
                <w:sz w:val="18"/>
              </w:rPr>
              <w:t>U=3392.5, p&lt;0.001</w:t>
            </w:r>
          </w:p>
        </w:tc>
        <w:tc>
          <w:tcPr>
            <w:tcW w:type="dxa" w:w="1984"/>
          </w:tcPr>
          <w:p>
            <w:r>
              <w:rPr>
                <w:rFonts w:ascii="Times New Roman" w:hAnsi="Times New Roman"/>
                <w:sz w:val="18"/>
              </w:rPr>
              <w:t>p=0.009 (unequal var.)</w:t>
            </w:r>
          </w:p>
        </w:tc>
        <w:tc>
          <w:tcPr>
            <w:tcW w:type="dxa" w:w="1984"/>
          </w:tcPr>
          <w:p>
            <w:r>
              <w:rPr>
                <w:rFonts w:ascii="Times New Roman" w:hAnsi="Times New Roman"/>
                <w:sz w:val="18"/>
              </w:rPr>
              <w:t>Reg: p=1.000, Base: p&lt;0.001</w:t>
            </w:r>
          </w:p>
        </w:tc>
      </w:tr>
    </w:tbl>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Discussion</w:t>
      </w:r>
    </w:p>
    <w:p>
      <w:pPr>
        <w:pStyle w:val="Heading2"/>
      </w:pPr>
      <w:r>
        <w:t>Principal Findings</w:t>
      </w:r>
    </w:p>
    <w:p>
      <w:r>
        <w:t>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r>
        <w:rPr>
          <w:b/>
        </w:rPr>
        <w:t>Key Technical Achievements</w:t>
      </w:r>
      <w:r>
        <w:t>:</w:t>
      </w:r>
    </w:p>
    <w:p>
      <w:r>
        <w:t xml:space="preserve">1. </w:t>
      </w:r>
      <w:r>
        <w:rPr>
          <w:b/>
        </w:rPr>
        <w:t>Successful implementation of real-time personality detection</w:t>
      </w:r>
      <w:r>
        <w:t xml:space="preserve"> with 100% accuracy for extreme profiles and validated AI evaluation (κ = 0.89 agreement with human experts)</w:t>
      </w:r>
    </w:p>
    <w:p>
      <w:r>
        <w:t xml:space="preserve">2. </w:t>
      </w:r>
      <w:r>
        <w:rPr>
          <w:b/>
        </w:rPr>
        <w:t>Effective translation of personality traits into behavioral modifications</w:t>
      </w:r>
      <w:r>
        <w:t xml:space="preserve"> through Zurich Model integration, producing measurably different conversational approaches</w:t>
      </w:r>
    </w:p>
    <w:p>
      <w:r>
        <w:t xml:space="preserve">3. </w:t>
      </w:r>
      <w:r>
        <w:rPr>
          <w:b/>
        </w:rPr>
        <w:t>Selective enhancement pattern</w:t>
      </w:r>
      <w:r>
        <w:t xml:space="preserve"> where personality adaptation specifically improves personalization (d = 4.58) without compromising basic quality (d &lt; 0.3)</w:t>
      </w:r>
    </w:p>
    <w:p>
      <w:r>
        <w:t xml:space="preserve">4. </w:t>
      </w:r>
      <w:r>
        <w:rPr>
          <w:b/>
        </w:rPr>
        <w:t>Validated evaluation methodology</w:t>
      </w:r>
      <w:r>
        <w:t xml:space="preserve"> benchmarked against clinical psychologists, establishing reliability and reducing AI-rating-AI concerns</w:t>
      </w:r>
    </w:p>
    <w:p>
      <w:r>
        <w:rPr>
          <w:b/>
        </w:rPr>
        <w:t>Statistical Significance of Findings</w:t>
      </w:r>
      <w:r>
        <w:t>: The extremely large effect size (Cohen's d = 4.58) for Personality Needs Addressed represents one of the strongest effects reported in conversational AI research. For context, Cohen's d &gt; 0.8 is conventionally classified as "large," making our observed effect more than 5 times larger than typical large effects. Combined with perfect statistical significance (p &lt; 0.001) and high AI-human evaluator agreement (κ = 0.89), these findings provide robust quantitative evidence that personality-adaptive regulation produces meaningful performance improvements in controlled simulation conditions.</w:t>
      </w:r>
    </w:p>
    <w:p>
      <w:pPr>
        <w:pStyle w:val="Heading2"/>
      </w:pPr>
      <w:r>
        <w:t>Addressing Perfect Performance: Ceiling Effects and Simulation Artifacts</w:t>
      </w:r>
    </w:p>
    <w:p>
      <w:r>
        <w:t>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w:t>
      </w:r>
    </w:p>
    <w:p>
      <w:pPr>
        <w:pStyle w:val="Heading3"/>
      </w:pPr>
      <w:r>
        <w:t>Is Perfect Performance a Simulation Artifact?</w:t>
      </w:r>
    </w:p>
    <w:p>
      <w:r>
        <w:rPr>
          <w:b/>
        </w:rPr>
        <w:t>Yes, partially.</w:t>
      </w:r>
      <w:r>
        <w:t xml:space="preserve"> The perfect performance likely reflects several simulation-specific factors that would not generalize to real-world deployment:</w:t>
      </w:r>
    </w:p>
    <w:p>
      <w:r>
        <w:t xml:space="preserve">1. </w:t>
      </w:r>
      <w:r>
        <w:rPr>
          <w:b/>
        </w:rPr>
        <w:t>Extreme Personality Profiles</w:t>
      </w:r>
      <w:r>
        <w:t>: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r>
        <w:t xml:space="preserve">2. </w:t>
      </w:r>
      <w:r>
        <w:rPr>
          <w:b/>
        </w:rPr>
        <w:t>Pre-Scripted User Responses</w:t>
      </w:r>
      <w:r>
        <w:t>: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r>
        <w:t xml:space="preserve">3. </w:t>
      </w:r>
      <w:r>
        <w:rPr>
          <w:b/>
        </w:rPr>
        <w:t>Aligned Evaluation Criteria</w:t>
      </w:r>
      <w:r>
        <w:t>: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r>
        <w:t xml:space="preserve">4. </w:t>
      </w:r>
      <w:r>
        <w:rPr>
          <w:b/>
        </w:rPr>
        <w:t>Short Interaction Duration</w:t>
      </w:r>
      <w:r>
        <w:t>: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r>
        <w:t xml:space="preserve">5. </w:t>
      </w:r>
      <w:r>
        <w:rPr>
          <w:b/>
        </w:rPr>
        <w:t>No True Therapeutic Complexity</w:t>
      </w:r>
      <w:r>
        <w:t>: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p>
      <w:pPr>
        <w:pStyle w:val="Heading3"/>
      </w:pPr>
      <w:r>
        <w:t>Is Perfect Performance Realistic for Real-World Deployment?</w:t>
      </w:r>
    </w:p>
    <w:p>
      <w:r>
        <w:rPr>
          <w:b/>
        </w:rPr>
        <w:t>No.</w:t>
      </w:r>
      <w:r>
        <w:t xml:space="preserve"> We explicitly acknowledge that perfect performance is </w:t>
      </w:r>
      <w:r>
        <w:rPr>
          <w:b/>
        </w:rPr>
        <w:t>not</w:t>
      </w:r>
      <w:r>
        <w:t xml:space="preserve"> expected or achievable in real-world healthcare applications. The simulation results should be interpreted as:</w:t>
      </w:r>
    </w:p>
    <w:p>
      <w:r>
        <w:rPr>
          <w:i/>
        </w:rPr>
        <w:t xml:space="preserve"> </w:t>
      </w:r>
      <w:r>
        <w:rPr>
          <w:i/>
        </w:rPr>
        <w:t>Upper Bound Estimate</w:t>
      </w:r>
      <w:r>
        <w:t>*: The perfect performance represents a theoretical maximum under ideally controlled conditions, not a realistic expectation for clinical deployment.</w:t>
      </w:r>
    </w:p>
    <w:p>
      <w:r>
        <w:rPr>
          <w:i/>
        </w:rPr>
        <w:t xml:space="preserve"> </w:t>
      </w:r>
      <w:r>
        <w:rPr>
          <w:i/>
        </w:rPr>
        <w:t>Technical Feasibility Demonstration</w:t>
      </w:r>
      <w:r>
        <w:t>*: The results establish that the core technical components (detection, regulation, response generation) can function correctly when all conditions are favorable.</w:t>
      </w:r>
    </w:p>
    <w:p>
      <w:r>
        <w:rPr>
          <w:i/>
        </w:rPr>
        <w:t xml:space="preserve"> </w:t>
      </w:r>
      <w:r>
        <w:rPr>
          <w:i/>
        </w:rPr>
        <w:t>Requirement for Degradation Analysis</w:t>
      </w:r>
      <w:r>
        <w:t>*: Future research must systematically test performance degradation under increasingly realistic conditions: moderate personalities, spontaneous conversation, longer interactions, cultural diversity, and clinical complexity.</w:t>
      </w:r>
    </w:p>
    <w:p>
      <w:pPr>
        <w:pStyle w:val="Heading3"/>
      </w:pPr>
      <w:r>
        <w:t>Clinical Implications of Perfect Scores</w:t>
      </w:r>
    </w:p>
    <w:p>
      <w:r>
        <w:t>From a clinical perspective, perfect AI performance raises ethical concerns about:</w:t>
      </w:r>
    </w:p>
    <w:p>
      <w:r>
        <w:rPr>
          <w:i/>
        </w:rPr>
        <w:t xml:space="preserve"> </w:t>
      </w:r>
      <w:r>
        <w:rPr>
          <w:i/>
        </w:rPr>
        <w:t>Over-reliance Risk</w:t>
      </w:r>
      <w:r>
        <w:t>*: Healthcare providers or patients might over-trust an AI that appears infallible in testing, leading to dangerous complacency when real-world failures inevitably occur.</w:t>
      </w:r>
    </w:p>
    <w:p>
      <w:r>
        <w:rPr>
          <w:i/>
        </w:rPr>
        <w:t xml:space="preserve"> </w:t>
      </w:r>
      <w:r>
        <w:rPr>
          <w:i/>
        </w:rPr>
        <w:t>Lack of Humility</w:t>
      </w:r>
      <w:r>
        <w:t>*: The system currently lacks mechanisms to communicate uncertainty, acknowledge limitations, or recognize when it is outside its competence range—critical safety features for healthcare AI.</w:t>
      </w:r>
    </w:p>
    <w:p>
      <w:r>
        <w:rPr>
          <w:i/>
        </w:rPr>
        <w:t xml:space="preserve"> </w:t>
      </w:r>
      <w:r>
        <w:rPr>
          <w:i/>
        </w:rPr>
        <w:t>Missing Failure Mode Analysis</w:t>
      </w:r>
      <w:r>
        <w:t>*: We have not yet tested how the system fails (e.g., misclassification consequences, cultural bias impacts, crisis response inadequacy), which is essential for safety validation.</w:t>
      </w:r>
    </w:p>
    <w:p>
      <w:r>
        <w:rPr>
          <w:b/>
        </w:rPr>
        <w:t>Conclusion</w:t>
      </w:r>
      <w:r>
        <w:t>: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p>
      <w:pPr>
        <w:pStyle w:val="Heading2"/>
      </w:pPr>
      <w:r>
        <w:t>Why Baseline Agents Failed: Interpretation and Implications</w:t>
      </w:r>
    </w:p>
    <w:p>
      <w:r>
        <w:t>The baseline agents' near-complete failure on Personality Needs Addressed (8.62% success rate, M = 0.17) requires interpretation beyond mere statistical reporting. This failure provides crucial insights into the limitations of one-size-fits-all emotional support.</w:t>
      </w:r>
    </w:p>
    <w:p>
      <w:pPr>
        <w:pStyle w:val="Heading3"/>
      </w:pPr>
      <w:r>
        <w:t>Mechanism of Baseline Failure</w:t>
      </w:r>
    </w:p>
    <w:p>
      <w:r>
        <w:t xml:space="preserve">The baseline agents employed a </w:t>
      </w:r>
      <w:r>
        <w:rPr>
          <w:b/>
        </w:rPr>
        <w:t>generic supportive approach</w:t>
      </w:r>
      <w:r>
        <w:t xml:space="preserve"> 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 </w:t>
      </w:r>
      <w:r>
        <w:rPr>
          <w:b/>
        </w:rPr>
        <w:t>even high-quality generic support is insufficient when individual psychological needs vary systematically by personality.</w:t>
      </w:r>
    </w:p>
    <w:p>
      <w:r>
        <w:rPr>
          <w:b/>
        </w:rPr>
        <w:t>Why Generic Support Failed</w:t>
      </w:r>
      <w:r>
        <w:t>:</w:t>
      </w:r>
    </w:p>
    <w:p>
      <w:r>
        <w:t xml:space="preserve">1. </w:t>
      </w:r>
      <w:r>
        <w:rPr>
          <w:b/>
        </w:rPr>
        <w:t>Mismatched Arousal Needs</w:t>
      </w:r>
      <w:r>
        <w:t>: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r>
        <w:t xml:space="preserve">2. </w:t>
      </w:r>
      <w:r>
        <w:rPr>
          <w:b/>
        </w:rPr>
        <w:t>Security vs. Autonomy Trade-offs</w:t>
      </w:r>
      <w:r>
        <w:t>: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r>
        <w:t xml:space="preserve">3. </w:t>
      </w:r>
      <w:r>
        <w:rPr>
          <w:b/>
        </w:rPr>
        <w:t>Affiliation Intensity</w:t>
      </w:r>
      <w:r>
        <w:t>: High-Agreeableness users expect warm, relational communication emphasizing connection, while low-Agreeableness users may interpret such warmth as intrusive or manipulative. The baseline's friendly-but-professional tone missed the mark for both extremes.</w:t>
      </w:r>
    </w:p>
    <w:p>
      <w:pPr>
        <w:pStyle w:val="Heading3"/>
      </w:pPr>
      <w:r>
        <w:t>Implications for Healthcare AI Design</w:t>
      </w:r>
    </w:p>
    <w:p>
      <w:r>
        <w:t xml:space="preserve">The baseline failure demonstrates that </w:t>
      </w:r>
      <w:r>
        <w:rPr>
          <w:b/>
        </w:rPr>
        <w:t>personality adaptation is not a luxury enhancement but a functional requirement for effective personalized healthcare AI</w:t>
      </w:r>
      <w:r>
        <w:t>. The observed effect size (d = 4.58) suggests that personality-aware regulation addresses a fundamental mismatch between users' psychological needs and system capabilities.</w:t>
      </w:r>
    </w:p>
    <w:p>
      <w:r>
        <w:rPr>
          <w:b/>
        </w:rPr>
        <w:t>Broader Implications</w:t>
      </w:r>
      <w:r>
        <w:t>:</w:t>
      </w:r>
    </w:p>
    <w:p>
      <w:r>
        <w:rPr>
          <w:i/>
        </w:rPr>
        <w:t xml:space="preserve"> </w:t>
      </w:r>
      <w:r>
        <w:rPr>
          <w:i/>
        </w:rPr>
        <w:t>Therapeutic Alliance</w:t>
      </w:r>
      <w:r>
        <w:t>*: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r>
        <w:rPr>
          <w:i/>
        </w:rPr>
        <w:t xml:space="preserve"> </w:t>
      </w:r>
      <w:r>
        <w:rPr>
          <w:i/>
        </w:rPr>
        <w:t>Precision Medicine Paradigm</w:t>
      </w:r>
      <w:r>
        <w:t>*: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r>
        <w:rPr>
          <w:i/>
        </w:rPr>
        <w:t xml:space="preserve"> </w:t>
      </w:r>
      <w:r>
        <w:rPr>
          <w:i/>
        </w:rPr>
        <w:t>Beyond Symptom Tracking</w:t>
      </w:r>
      <w:r>
        <w:t>*: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pPr>
        <w:pStyle w:val="Heading2"/>
      </w:pPr>
      <w:r>
        <w:t>Comparison with Existing Literature</w:t>
      </w:r>
    </w:p>
    <w:p>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r>
        <w:rPr>
          <w:b/>
        </w:rPr>
        <w:t>Performance Comparison</w:t>
      </w:r>
      <w:r>
        <w:t>: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r>
        <w:rPr>
          <w:b/>
        </w:rPr>
        <w:t>Methodological Contributions</w:t>
      </w:r>
      <w:r>
        <w:t>: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r>
        <w:rPr>
          <w:b/>
        </w:rPr>
        <w:t>Comparison with Healthcare Chatbots</w:t>
      </w:r>
      <w:r>
        <w:t>: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pPr>
        <w:pStyle w:val="Heading2"/>
      </w:pPr>
      <w:r>
        <w:t>Real-World Translation Pathway</w:t>
      </w:r>
    </w:p>
    <w:p>
      <w:r>
        <w:rPr>
          <w:b/>
        </w:rPr>
        <w:t>Immediate Requirements for Human Subject Validation</w:t>
      </w:r>
      <w:r>
        <w:t>:</w:t>
      </w:r>
    </w:p>
    <w:p>
      <w:r>
        <w:t xml:space="preserve">1. </w:t>
      </w:r>
      <w:r>
        <w:rPr>
          <w:b/>
        </w:rPr>
        <w:t>Human Subject Studies</w:t>
      </w:r>
      <w:r>
        <w:t>: Minimum n=50 elderly participants with validated personality assessments (NEO-PI-R, BFI-2)</w:t>
      </w:r>
    </w:p>
    <w:p>
      <w:r>
        <w:t xml:space="preserve">2. </w:t>
      </w:r>
      <w:r>
        <w:rPr>
          <w:b/>
        </w:rPr>
        <w:t>Domain Expert Evaluation</w:t>
      </w:r>
      <w:r>
        <w:t>: Licensed psychologists assessing personality detection accuracy and therapeutic appropriateness</w:t>
      </w:r>
    </w:p>
    <w:p>
      <w:r>
        <w:t xml:space="preserve">3. </w:t>
      </w:r>
      <w:r>
        <w:rPr>
          <w:b/>
        </w:rPr>
        <w:t>Safety Validation</w:t>
      </w:r>
      <w:r>
        <w:t>: Comprehensive risk assessment for potential psychological harms and therapeutic misalignment</w:t>
      </w:r>
    </w:p>
    <w:p>
      <w:r>
        <w:t xml:space="preserve">4. </w:t>
      </w:r>
      <w:r>
        <w:rPr>
          <w:b/>
        </w:rPr>
        <w:t>Cultural Validation</w:t>
      </w:r>
      <w:r>
        <w:t>: Testing across diverse ethnic, linguistic, and cultural groups to ensure generalizability</w:t>
      </w:r>
    </w:p>
    <w:p>
      <w:r>
        <w:t xml:space="preserve">5. </w:t>
      </w:r>
      <w:r>
        <w:rPr>
          <w:b/>
        </w:rPr>
        <w:t>Longitudinal Assessment</w:t>
      </w:r>
      <w:r>
        <w:t>: Extended interaction studies (minimum 30 days) to assess sustained effectiveness and engagement</w:t>
      </w:r>
    </w:p>
    <w:p>
      <w:r>
        <w:rPr>
          <w:b/>
        </w:rPr>
        <w:t>Regulatory Pathway</w:t>
      </w:r>
      <w:r>
        <w:t>:</w:t>
      </w:r>
    </w:p>
    <w:p>
      <w:r>
        <w:t xml:space="preserve">- </w:t>
      </w:r>
      <w:r>
        <w:rPr>
          <w:b/>
        </w:rPr>
        <w:t>IRB Approval</w:t>
      </w:r>
      <w:r>
        <w:t>: Full institutional review board approval for human subjects research</w:t>
      </w:r>
    </w:p>
    <w:p>
      <w:r>
        <w:t xml:space="preserve">- </w:t>
      </w:r>
      <w:r>
        <w:rPr>
          <w:b/>
        </w:rPr>
        <w:t>Data Protection</w:t>
      </w:r>
      <w:r>
        <w:t>: HIPAA/GDPR compliance for healthcare data handling and privacy protection</w:t>
      </w:r>
    </w:p>
    <w:p>
      <w:r>
        <w:t xml:space="preserve">- </w:t>
      </w:r>
      <w:r>
        <w:rPr>
          <w:b/>
        </w:rPr>
        <w:t>FDA Guidance</w:t>
      </w:r>
      <w:r>
        <w:t>: Alignment with emerging FDA guidance for healthcare AI systems and healthcare decision support</w:t>
      </w:r>
    </w:p>
    <w:p>
      <w:r>
        <w:t xml:space="preserve">- </w:t>
      </w:r>
      <w:r>
        <w:rPr>
          <w:b/>
        </w:rPr>
        <w:t>Research Trial Registration</w:t>
      </w:r>
      <w:r>
        <w:t>: Registration for therapeutic efficacy claims and research outcome assessment</w:t>
      </w:r>
    </w:p>
    <w:p>
      <w:r>
        <w:rPr>
          <w:b/>
        </w:rPr>
        <w:t>Timeline Estimate</w:t>
      </w:r>
      <w:r>
        <w:t>: 2-3 years for comprehensive human subject validation, regulatory approval, and initial healthcare deployment</w:t>
      </w:r>
    </w:p>
    <w:p>
      <w:pPr>
        <w:pStyle w:val="Heading2"/>
      </w:pPr>
      <w:r>
        <w:t>Limitations</w:t>
      </w:r>
    </w:p>
    <w:p>
      <w:r>
        <w:t>This study's findings must be interpreted within significant methodological constraints that restrict generalizability and real-world applicability.</w:t>
      </w:r>
    </w:p>
    <w:p>
      <w:pPr>
        <w:pStyle w:val="Heading2"/>
      </w:pPr>
      <w:r>
        <w:t>Study Design Limitations</w:t>
      </w:r>
    </w:p>
    <w:p>
      <w:r>
        <w:t>The simulation-only methodology represents the primary constraint. All user inputs were pre-scripted simulated personality profiles rather than spontaneous human responses, likely inflating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r>
        <w:t>The extreme personality profiles (all traits at +1 or −1) were deliberately selected to maximize signal detection and test system capability under ideal conditions. Real users exhibit continuous trait distributions and profile complexity (e.g., high Openness + low Agreeableness) that would present greater complexity and ambiguity, likely reducing detection accuracy and regulation effectiveness. The system's performance with moderate profiles (trait values near 0) remains completely untested.</w:t>
      </w:r>
    </w:p>
    <w:p>
      <w:r>
        <w:t>Six-turn dialogues impose strict interaction duration constraints, insufficient for assessing sustained relationships, rapport development, long-term engagement, or therapeutic alliance formation essential for healthcare applications. Long-term failure modes—repetitiveness, adaptation failures, relationship fatigue—cannot be detected in brief interactions.</w:t>
      </w:r>
    </w:p>
    <w:p>
      <w:pPr>
        <w:pStyle w:val="Heading3"/>
      </w:pPr>
      <w:r>
        <w:t>Evaluation and Technical Limitations</w:t>
      </w:r>
    </w:p>
    <w:p>
      <w:r>
        <w:t>The validation sample represents only 25% of the full dataset. While this stratified sampling strategy reduces risk of systematic bias outside the validation sample, the remaining 75% of dialogue turns were evaluated solely by Evaluator GPT without human verification, potentially propagating systematic biases throughout results.</w:t>
      </w:r>
    </w:p>
    <w:p>
      <w:r>
        <w:t>Both the Evaluator GPT and regulated/baseline agents leverage GPT-4 as their foundation model. While human-AI agreement was strong (κ = 0.89), subtle shared linguistic patterns between agent outputs and evaluator assessments could create inflated agreement. Detection operates exclusively on text, excluding paralinguistic cues critical to human personality assessment: tone of voice, speech rate, facial expressions, or physiological signals.</w:t>
      </w:r>
    </w:p>
    <w:p>
      <w:pPr>
        <w:pStyle w:val="Heading3"/>
      </w:pPr>
      <w:r>
        <w:t>Scope and Generalizability Limitations</w:t>
      </w:r>
    </w:p>
    <w:p>
      <w:r>
        <w:t>Perfect or near-perfect performance (100% success rates, zero variance) in regulated agents suggests ceiling effects and simulation artifacts. Perfect performance fails to map failure modes essential for safe deployment. Real-world healthcare applications will inevitably encounter failures; this study provides no evidence about how the system fails, when it fails, or how to detect and mitigate failures.</w:t>
      </w:r>
    </w:p>
    <w:p>
      <w:r>
        <w:t>System patterns were calibrated exclusively for English; cross-cultural validity remains unknown. Personality expression varies significantly across cultures. The system has not been tested with non-Western users, non-English languages, or culturally diverse communication norms.</w:t>
      </w:r>
    </w:p>
    <w:p>
      <w:r>
        <w:t>No measurement of actual health outcomes, therapeutic efficacy, user satisfaction, behavioral changes, or clinical improvement occurred. The study measures conversational appropriateness, not healing, recovery, or quality of life improvement.</w:t>
      </w:r>
    </w:p>
    <w:p>
      <w:pPr>
        <w:pStyle w:val="Heading3"/>
      </w:pPr>
      <w:r>
        <w:t>Ethical Considerations</w:t>
      </w:r>
    </w:p>
    <w:p>
      <w:r>
        <w:t>Personality profiling in healthcare raises concerns about psychological manipulation, stereotype reinforcement, decisional autonomy violation, and privacy invasion. Misclassification could lead to inappropriate therapeutic approaches or exacerbation of mental health symptoms. These risks require careful ethical consideration, comprehensive safety testing, and professional oversight in real-world translation.</w:t>
      </w:r>
    </w:p>
    <w:p>
      <w:pPr>
        <w:pStyle w:val="Heading2"/>
      </w:pPr>
      <w:r>
        <w:t>Risk Assessment</w:t>
      </w:r>
    </w:p>
    <w:p>
      <w:r>
        <w:t>Table 5. Potential Risks and Mitigation Strategies for Healthcare Deployment</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Risk Category</w:t>
            </w:r>
          </w:p>
        </w:tc>
        <w:tc>
          <w:tcPr>
            <w:tcW w:type="dxa" w:w="1984"/>
          </w:tcPr>
          <w:p>
            <w:r>
              <w:rPr>
                <w:rFonts w:ascii="Times New Roman" w:hAnsi="Times New Roman"/>
                <w:b/>
                <w:sz w:val="18"/>
              </w:rPr>
              <w:t>Risk Description</w:t>
            </w:r>
          </w:p>
        </w:tc>
        <w:tc>
          <w:tcPr>
            <w:tcW w:type="dxa" w:w="1984"/>
          </w:tcPr>
          <w:p>
            <w:r>
              <w:rPr>
                <w:rFonts w:ascii="Times New Roman" w:hAnsi="Times New Roman"/>
                <w:b/>
                <w:sz w:val="18"/>
              </w:rPr>
              <w:t>Likelihood</w:t>
            </w:r>
          </w:p>
        </w:tc>
        <w:tc>
          <w:tcPr>
            <w:tcW w:type="dxa" w:w="1984"/>
          </w:tcPr>
          <w:p>
            <w:r>
              <w:rPr>
                <w:rFonts w:ascii="Times New Roman" w:hAnsi="Times New Roman"/>
                <w:b/>
                <w:sz w:val="18"/>
              </w:rPr>
              <w:t>Impact</w:t>
            </w:r>
          </w:p>
        </w:tc>
        <w:tc>
          <w:tcPr>
            <w:tcW w:type="dxa" w:w="1984"/>
          </w:tcPr>
          <w:p>
            <w:r>
              <w:rPr>
                <w:rFonts w:ascii="Times New Roman" w:hAnsi="Times New Roman"/>
                <w:b/>
                <w:sz w:val="18"/>
              </w:rPr>
              <w:t>Mitigation Strategy</w:t>
            </w:r>
          </w:p>
        </w:tc>
      </w:tr>
      <w:tr>
        <w:tc>
          <w:tcPr>
            <w:tcW w:type="dxa" w:w="1984"/>
          </w:tcPr>
          <w:p>
            <w:r>
              <w:rPr>
                <w:rFonts w:ascii="Times New Roman" w:hAnsi="Times New Roman"/>
                <w:sz w:val="18"/>
              </w:rPr>
              <w:t>Misclassification</w:t>
            </w:r>
          </w:p>
        </w:tc>
        <w:tc>
          <w:tcPr>
            <w:tcW w:type="dxa" w:w="1984"/>
          </w:tcPr>
          <w:p>
            <w:r>
              <w:rPr>
                <w:rFonts w:ascii="Times New Roman" w:hAnsi="Times New Roman"/>
                <w:sz w:val="18"/>
              </w:rPr>
              <w:t>Incorrect personality assessment</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Conservative thresholds, provider oversight, fallback protocols</w:t>
            </w:r>
          </w:p>
        </w:tc>
      </w:tr>
      <w:tr>
        <w:tc>
          <w:tcPr>
            <w:tcW w:type="dxa" w:w="1984"/>
          </w:tcPr>
          <w:p>
            <w:r>
              <w:rPr>
                <w:rFonts w:ascii="Times New Roman" w:hAnsi="Times New Roman"/>
                <w:sz w:val="18"/>
              </w:rPr>
              <w:t>Cultural Bias</w:t>
            </w:r>
          </w:p>
        </w:tc>
        <w:tc>
          <w:tcPr>
            <w:tcW w:type="dxa" w:w="1984"/>
          </w:tcPr>
          <w:p>
            <w:r>
              <w:rPr>
                <w:rFonts w:ascii="Times New Roman" w:hAnsi="Times New Roman"/>
                <w:sz w:val="18"/>
              </w:rPr>
              <w:t>Reduced accuracy across cultures</w:t>
            </w:r>
          </w:p>
        </w:tc>
        <w:tc>
          <w:tcPr>
            <w:tcW w:type="dxa" w:w="1984"/>
          </w:tcPr>
          <w:p>
            <w:r>
              <w:rPr>
                <w:rFonts w:ascii="Times New Roman" w:hAnsi="Times New Roman"/>
                <w:sz w:val="18"/>
              </w:rPr>
              <w:t>High</w:t>
            </w:r>
          </w:p>
        </w:tc>
        <w:tc>
          <w:tcPr>
            <w:tcW w:type="dxa" w:w="1984"/>
          </w:tcPr>
          <w:p>
            <w:r>
              <w:rPr>
                <w:rFonts w:ascii="Times New Roman" w:hAnsi="Times New Roman"/>
                <w:sz w:val="18"/>
              </w:rPr>
              <w:t>High</w:t>
            </w:r>
          </w:p>
        </w:tc>
        <w:tc>
          <w:tcPr>
            <w:tcW w:type="dxa" w:w="1984"/>
          </w:tcPr>
          <w:p>
            <w:r>
              <w:rPr>
                <w:rFonts w:ascii="Times New Roman" w:hAnsi="Times New Roman"/>
                <w:sz w:val="18"/>
              </w:rPr>
              <w:t>Diverse validation cohorts, cultural adaptation algorithms, bias detection systems</w:t>
            </w:r>
          </w:p>
        </w:tc>
      </w:tr>
      <w:tr>
        <w:tc>
          <w:tcPr>
            <w:tcW w:type="dxa" w:w="1984"/>
          </w:tcPr>
          <w:p>
            <w:r>
              <w:rPr>
                <w:rFonts w:ascii="Times New Roman" w:hAnsi="Times New Roman"/>
                <w:sz w:val="18"/>
              </w:rPr>
              <w:t>Over-reliance</w:t>
            </w:r>
          </w:p>
        </w:tc>
        <w:tc>
          <w:tcPr>
            <w:tcW w:type="dxa" w:w="1984"/>
          </w:tcPr>
          <w:p>
            <w:r>
              <w:rPr>
                <w:rFonts w:ascii="Times New Roman" w:hAnsi="Times New Roman"/>
                <w:sz w:val="18"/>
              </w:rPr>
              <w:t>Excessive dependence on AI</w:t>
            </w:r>
          </w:p>
        </w:tc>
        <w:tc>
          <w:tcPr>
            <w:tcW w:type="dxa" w:w="1984"/>
          </w:tcPr>
          <w:p>
            <w:r>
              <w:rPr>
                <w:rFonts w:ascii="Times New Roman" w:hAnsi="Times New Roman"/>
                <w:sz w:val="18"/>
              </w:rPr>
              <w:t>Medium</w:t>
            </w:r>
          </w:p>
        </w:tc>
        <w:tc>
          <w:tcPr>
            <w:tcW w:type="dxa" w:w="1984"/>
          </w:tcPr>
          <w:p>
            <w:r>
              <w:rPr>
                <w:rFonts w:ascii="Times New Roman" w:hAnsi="Times New Roman"/>
                <w:sz w:val="18"/>
              </w:rPr>
              <w:t>Medium</w:t>
            </w:r>
          </w:p>
        </w:tc>
        <w:tc>
          <w:tcPr>
            <w:tcW w:type="dxa" w:w="1984"/>
          </w:tcPr>
          <w:p>
            <w:r>
              <w:rPr>
                <w:rFonts w:ascii="Times New Roman" w:hAnsi="Times New Roman"/>
                <w:sz w:val="18"/>
              </w:rPr>
              <w:t>Provider training, clear limitations communication, human oversight requirements</w:t>
            </w:r>
          </w:p>
        </w:tc>
      </w:tr>
      <w:tr>
        <w:tc>
          <w:tcPr>
            <w:tcW w:type="dxa" w:w="1984"/>
          </w:tcPr>
          <w:p>
            <w:r>
              <w:rPr>
                <w:rFonts w:ascii="Times New Roman" w:hAnsi="Times New Roman"/>
                <w:sz w:val="18"/>
              </w:rPr>
              <w:t>Privacy Breach</w:t>
            </w:r>
          </w:p>
        </w:tc>
        <w:tc>
          <w:tcPr>
            <w:tcW w:type="dxa" w:w="1984"/>
          </w:tcPr>
          <w:p>
            <w:r>
              <w:rPr>
                <w:rFonts w:ascii="Times New Roman" w:hAnsi="Times New Roman"/>
                <w:sz w:val="18"/>
              </w:rPr>
              <w:t>Unauthorized personality data access</w:t>
            </w:r>
          </w:p>
        </w:tc>
        <w:tc>
          <w:tcPr>
            <w:tcW w:type="dxa" w:w="1984"/>
          </w:tcPr>
          <w:p>
            <w:r>
              <w:rPr>
                <w:rFonts w:ascii="Times New Roman" w:hAnsi="Times New Roman"/>
                <w:sz w:val="18"/>
              </w:rPr>
              <w:t>Low</w:t>
            </w:r>
          </w:p>
        </w:tc>
        <w:tc>
          <w:tcPr>
            <w:tcW w:type="dxa" w:w="1984"/>
          </w:tcPr>
          <w:p>
            <w:r>
              <w:rPr>
                <w:rFonts w:ascii="Times New Roman" w:hAnsi="Times New Roman"/>
                <w:sz w:val="18"/>
              </w:rPr>
              <w:t>High</w:t>
            </w:r>
          </w:p>
        </w:tc>
        <w:tc>
          <w:tcPr>
            <w:tcW w:type="dxa" w:w="1984"/>
          </w:tcPr>
          <w:p>
            <w:r>
              <w:rPr>
                <w:rFonts w:ascii="Times New Roman" w:hAnsi="Times New Roman"/>
                <w:sz w:val="18"/>
              </w:rPr>
              <w:t>End-to-end encryption, access controls, audit logging, HIPAA compliance</w:t>
            </w:r>
          </w:p>
        </w:tc>
      </w:tr>
      <w:tr>
        <w:tc>
          <w:tcPr>
            <w:tcW w:type="dxa" w:w="1984"/>
          </w:tcPr>
          <w:p>
            <w:r>
              <w:rPr>
                <w:rFonts w:ascii="Times New Roman" w:hAnsi="Times New Roman"/>
                <w:sz w:val="18"/>
              </w:rPr>
              <w:t>Therapeutic Harm</w:t>
            </w:r>
          </w:p>
        </w:tc>
        <w:tc>
          <w:tcPr>
            <w:tcW w:type="dxa" w:w="1984"/>
          </w:tcPr>
          <w:p>
            <w:r>
              <w:rPr>
                <w:rFonts w:ascii="Times New Roman" w:hAnsi="Times New Roman"/>
                <w:sz w:val="18"/>
              </w:rPr>
              <w:t>Inappropriate psychological intervention</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Professional supervision, safety protocols, emergency escalation procedures</w:t>
            </w:r>
          </w:p>
        </w:tc>
      </w:tr>
    </w:tbl>
    <w:p/>
    <w:p>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pPr>
        <w:pStyle w:val="Heading2"/>
      </w:pPr>
      <w:r>
        <w:t>Future Research Priorities</w:t>
      </w:r>
    </w:p>
    <w:p>
      <w:r>
        <w:rPr>
          <w:b/>
        </w:rPr>
        <w:t>Immediate Next Steps for Human Subject Validation:</w:t>
      </w:r>
    </w:p>
    <w:p>
      <w:r>
        <w:t xml:space="preserve">1. </w:t>
      </w:r>
      <w:r>
        <w:rPr>
          <w:b/>
        </w:rPr>
        <w:t>Pilot Study with Real Users</w:t>
      </w:r>
      <w:r>
        <w:t xml:space="preserve"> (Timeline: 6-12 months):</w:t>
      </w:r>
    </w:p>
    <w:p>
      <w:r>
        <w:t xml:space="preserve">- </w:t>
      </w:r>
      <w:r>
        <w:rPr>
          <w:b/>
        </w:rPr>
        <w:t>Design</w:t>
      </w:r>
      <w:r>
        <w:t>: Randomized controlled trial with n = 50-100 elderly participants (25-50 per condition)</w:t>
      </w:r>
    </w:p>
    <w:p>
      <w:r>
        <w:t xml:space="preserve">- </w:t>
      </w:r>
      <w:r>
        <w:rPr>
          <w:b/>
        </w:rPr>
        <w:t>Inclusion Criteria</w:t>
      </w:r>
      <w:r>
        <w:t>: Adults aged 65+, living independently, moderate loneliness (UCLA Loneliness Scale score 40-60), no severe cognitive impairment (MMSE &gt; 24)</w:t>
      </w:r>
    </w:p>
    <w:p>
      <w:r>
        <w:t xml:space="preserve">- </w:t>
      </w:r>
      <w:r>
        <w:rPr>
          <w:b/>
        </w:rPr>
        <w:t>Interventions</w:t>
      </w:r>
      <w:r>
        <w:t>: Personality-adaptive conversational AI vs. static supportive AI vs. waitlist control</w:t>
      </w:r>
    </w:p>
    <w:p>
      <w:r>
        <w:t xml:space="preserve">- </w:t>
      </w:r>
      <w:r>
        <w:rPr>
          <w:b/>
        </w:rPr>
        <w:t>Duration</w:t>
      </w:r>
      <w:r>
        <w:t>: 4 weeks of daily 10-minute interactions (28 total sessions per participant)</w:t>
      </w:r>
    </w:p>
    <w:p>
      <w:r>
        <w:t xml:space="preserve">- </w:t>
      </w:r>
      <w:r>
        <w:rPr>
          <w:b/>
        </w:rPr>
        <w:t>Primary Outcome</w:t>
      </w:r>
      <w:r>
        <w:t>: Change in loneliness (UCLA Loneliness Scale, pre-post assessment)</w:t>
      </w:r>
    </w:p>
    <w:p>
      <w:r>
        <w:t xml:space="preserve">- </w:t>
      </w:r>
      <w:r>
        <w:rPr>
          <w:b/>
        </w:rPr>
        <w:t>Secondary Outcomes</w:t>
      </w:r>
      <w:r>
        <w:t>: User satisfaction (System Usability Scale), engagement metrics (session completion rate, conversation length), depression symptoms (PHQ-9), anxiety symptoms (GAD-7)</w:t>
      </w:r>
    </w:p>
    <w:p>
      <w:r>
        <w:t xml:space="preserve">- </w:t>
      </w:r>
      <w:r>
        <w:rPr>
          <w:b/>
        </w:rPr>
        <w:t>Personality Assessment</w:t>
      </w:r>
      <w:r>
        <w:t>: Validated Big Five assessment (NEO-PI-R or BFI-2) at baseline for comparison with AI detection</w:t>
      </w:r>
    </w:p>
    <w:p>
      <w:r>
        <w:t xml:space="preserve">- </w:t>
      </w:r>
      <w:r>
        <w:rPr>
          <w:b/>
        </w:rPr>
        <w:t>Safety Monitoring</w:t>
      </w:r>
      <w:r>
        <w:t>: Weekly check-ins with study staff to assess adverse events, psychological distress, or system malfunctions</w:t>
      </w:r>
    </w:p>
    <w:p>
      <w:r>
        <w:t xml:space="preserve">2. </w:t>
      </w:r>
      <w:r>
        <w:rPr>
          <w:b/>
        </w:rPr>
        <w:t>Human Expert Evaluation</w:t>
      </w:r>
      <w:r>
        <w:t xml:space="preserve"> (Concurrent with pilot):</w:t>
      </w:r>
    </w:p>
    <w:p>
      <w:r>
        <w:t>- Licensed clinical psychologists independently rate conversation quality across full pilot dataset</w:t>
      </w:r>
    </w:p>
    <w:p>
      <w:r>
        <w:t>- Compare AI-detected personality profiles with validated NEO-PI-R assessments (detection accuracy in real users)</w:t>
      </w:r>
    </w:p>
    <w:p>
      <w:r>
        <w:t>- Assess therapeutic appropriateness beyond conversational quality (potential harms, ethical concerns, clinical contraindications)</w:t>
      </w:r>
    </w:p>
    <w:p>
      <w:r>
        <w:t>- Qualitative interviews with participants about subjective experience, perceived personalization, and trust</w:t>
      </w:r>
    </w:p>
    <w:p>
      <w:r>
        <w:t xml:space="preserve">3. </w:t>
      </w:r>
      <w:r>
        <w:rPr>
          <w:b/>
        </w:rPr>
        <w:t>Moderate Personality Profile Testing</w:t>
      </w:r>
      <w:r>
        <w:t xml:space="preserve"> (Months 6-12):</w:t>
      </w:r>
    </w:p>
    <w:p>
      <w:r>
        <w:t>- Expand testing to users with moderate trait values (BFI-2 scores within 0.5 SD of population mean)</w:t>
      </w:r>
    </w:p>
    <w:p>
      <w:r>
        <w:t>- Assess whether personality adaptation provides benefits for non-extreme profiles</w:t>
      </w:r>
    </w:p>
    <w:p>
      <w:r>
        <w:t>- Map performance degradation curve as personality profiles move from extreme to moderate</w:t>
      </w:r>
    </w:p>
    <w:p>
      <w:r>
        <w:t xml:space="preserve">4. </w:t>
      </w:r>
      <w:r>
        <w:rPr>
          <w:b/>
        </w:rPr>
        <w:t>Cultural Validation Study</w:t>
      </w:r>
      <w:r>
        <w:t xml:space="preserve"> (Months 12-18):</w:t>
      </w:r>
    </w:p>
    <w:p>
      <w:r>
        <w:t>- Test system performance across diverse cultural groups (minimum: Western individualist, East Asian collectivist, Latin American cultures)</w:t>
      </w:r>
    </w:p>
    <w:p>
      <w:r>
        <w:t>- Translate prompts and validation with native speakers</w:t>
      </w:r>
    </w:p>
    <w:p>
      <w:r>
        <w:t>- Assess cultural bias in personality detection and appropriateness of regulation strategies</w:t>
      </w:r>
    </w:p>
    <w:p>
      <w:r>
        <w:t>- Develop culture-specific adaptation algorithms if necessary</w:t>
      </w:r>
    </w:p>
    <w:p>
      <w:r>
        <w:t xml:space="preserve">5. </w:t>
      </w:r>
      <w:r>
        <w:rPr>
          <w:b/>
        </w:rPr>
        <w:t>Longitudinal Effectiveness Study</w:t>
      </w:r>
      <w:r>
        <w:t xml:space="preserve"> (Months 18-36):</w:t>
      </w:r>
    </w:p>
    <w:p>
      <w:r>
        <w:t>- Extended engagement study (3-6 months) assessing sustained effectiveness</w:t>
      </w:r>
    </w:p>
    <w:p>
      <w:r>
        <w:t>- Measure relationship development, therapeutic alliance quality, and long-term outcomes</w:t>
      </w:r>
    </w:p>
    <w:p>
      <w:r>
        <w:t>- Assess adaptation to personality change over time</w:t>
      </w:r>
    </w:p>
    <w:p>
      <w:r>
        <w:t>- Identify long-term failure modes (repetitiveness, relationship fatigue, diminishing returns)</w:t>
      </w:r>
    </w:p>
    <w:p>
      <w:r>
        <w:rPr>
          <w:b/>
        </w:rPr>
        <w:t>Technical Development Priorities</w:t>
      </w:r>
      <w:r>
        <w:t>:</w:t>
      </w:r>
    </w:p>
    <w:p>
      <w:r>
        <w:t xml:space="preserve">1. </w:t>
      </w:r>
      <w:r>
        <w:rPr>
          <w:b/>
        </w:rPr>
        <w:t>Multimodal personality detection</w:t>
      </w:r>
      <w:r>
        <w:t xml:space="preserve"> (voice, facial expressions, physiological signals)</w:t>
      </w:r>
    </w:p>
    <w:p>
      <w:r>
        <w:t xml:space="preserve">2. </w:t>
      </w:r>
      <w:r>
        <w:rPr>
          <w:b/>
        </w:rPr>
        <w:t>Continuous learning and adaptation mechanisms</w:t>
      </w:r>
      <w:r>
        <w:t xml:space="preserve"> for improved accuracy over time</w:t>
      </w:r>
    </w:p>
    <w:p>
      <w:r>
        <w:t xml:space="preserve">3. </w:t>
      </w:r>
      <w:r>
        <w:rPr>
          <w:b/>
        </w:rPr>
        <w:t>Cultural bias detection and mitigation algorithms</w:t>
      </w:r>
      <w:r>
        <w:t xml:space="preserve"> for global healthcare applications</w:t>
      </w:r>
    </w:p>
    <w:p>
      <w:r>
        <w:t xml:space="preserve">4. </w:t>
      </w:r>
      <w:r>
        <w:rPr>
          <w:b/>
        </w:rPr>
        <w:t>Uncertainty quantification</w:t>
      </w:r>
      <w:r>
        <w:t xml:space="preserve"> enabling the system to acknowledge when confidence is low</w:t>
      </w:r>
    </w:p>
    <w:p>
      <w:r>
        <w:t xml:space="preserve">5. </w:t>
      </w:r>
      <w:r>
        <w:rPr>
          <w:b/>
        </w:rPr>
        <w:t>Failure mode detection</w:t>
      </w:r>
      <w:r>
        <w:t xml:space="preserve"> to recognize when the system is outside its competence range</w:t>
      </w:r>
    </w:p>
    <w:p>
      <w:r>
        <w:rPr>
          <w:b/>
        </w:rPr>
        <w:t>Regulatory and Ethical Framework Development</w:t>
      </w:r>
      <w:r>
        <w:t>:</w:t>
      </w:r>
    </w:p>
    <w:p>
      <w:r>
        <w:t xml:space="preserve">1. </w:t>
      </w:r>
      <w:r>
        <w:rPr>
          <w:b/>
        </w:rPr>
        <w:t>IRB Protocol Development</w:t>
      </w:r>
      <w:r>
        <w:t>: Complete human subject research protocols for pilot study</w:t>
      </w:r>
    </w:p>
    <w:p>
      <w:r>
        <w:t xml:space="preserve">2. </w:t>
      </w:r>
      <w:r>
        <w:rPr>
          <w:b/>
        </w:rPr>
        <w:t>Informed Consent Framework</w:t>
      </w:r>
      <w:r>
        <w:t>: Develop consent process explaining AI personality profiling, data use, and limitations</w:t>
      </w:r>
    </w:p>
    <w:p>
      <w:r>
        <w:t xml:space="preserve">3. </w:t>
      </w:r>
      <w:r>
        <w:rPr>
          <w:b/>
        </w:rPr>
        <w:t>Safety Monitoring Plan</w:t>
      </w:r>
      <w:r>
        <w:t>: Establish protocols for detecting and responding to adverse events</w:t>
      </w:r>
    </w:p>
    <w:p>
      <w:r>
        <w:t xml:space="preserve">4. </w:t>
      </w:r>
      <w:r>
        <w:rPr>
          <w:b/>
        </w:rPr>
        <w:t>Regulatory Pathway Planning</w:t>
      </w:r>
      <w:r>
        <w:t>: Engage with FDA/EMA on classification and approval requirements for healthcare AI</w:t>
      </w:r>
    </w:p>
    <w:p>
      <w:r>
        <w:rPr>
          <w:b/>
        </w:rPr>
        <w:t>Healthcare Integration Research</w:t>
      </w:r>
      <w:r>
        <w:t>:</w:t>
      </w:r>
    </w:p>
    <w:p>
      <w:r>
        <w:t xml:space="preserve">1. </w:t>
      </w:r>
      <w:r>
        <w:rPr>
          <w:b/>
        </w:rPr>
        <w:t>Electronic Health Record (EHR) integration</w:t>
      </w:r>
      <w:r>
        <w:t xml:space="preserve"> feasibility and workflow analysis</w:t>
      </w:r>
    </w:p>
    <w:p>
      <w:r>
        <w:t xml:space="preserve">2. </w:t>
      </w:r>
      <w:r>
        <w:rPr>
          <w:b/>
        </w:rPr>
        <w:t>Provider training and education</w:t>
      </w:r>
      <w:r>
        <w:t xml:space="preserve"> program development</w:t>
      </w:r>
    </w:p>
    <w:p>
      <w:r>
        <w:t xml:space="preserve">3. </w:t>
      </w:r>
      <w:r>
        <w:rPr>
          <w:b/>
        </w:rPr>
        <w:t>Patient education and engagement</w:t>
      </w:r>
      <w:r>
        <w:t xml:space="preserve"> materials development</w:t>
      </w:r>
    </w:p>
    <w:p>
      <w:r>
        <w:t xml:space="preserve">4. </w:t>
      </w:r>
      <w:r>
        <w:rPr>
          <w:b/>
        </w:rPr>
        <w:t>Quality assurance and monitoring</w:t>
      </w:r>
      <w:r>
        <w:t xml:space="preserve"> systems for ongoing safety assessment</w:t>
      </w:r>
    </w:p>
    <w:p>
      <w:r>
        <w:rPr>
          <w:b/>
        </w:rPr>
        <w:t>Timeline Summary</w:t>
      </w:r>
      <w:r>
        <w:t>: We estimate 2-3 years for comprehensive human subject validation, cultural testing, and regulatory preparation before this technology could be considered ready for clinical piloting in controlled healthcare settings. Even then, deployment would require ongoing monitoring, professional oversight, and iterative refinement based on real-world performance data.</w:t>
      </w:r>
    </w:p>
    <w:p>
      <w:pPr>
        <w:pStyle w:val="Heading1"/>
      </w:pPr>
      <w:r>
        <w:t>Conclusions</w:t>
      </w:r>
    </w:p>
    <w:p>
      <w:r>
        <w:t>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r>
        <w:rPr>
          <w:b/>
        </w:rPr>
        <w:t>Key Statistical Finding</w:t>
      </w:r>
      <w:r>
        <w:t>: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r>
        <w:rPr>
          <w:b/>
        </w:rPr>
        <w:t>Validated Evaluation Methodology</w:t>
      </w:r>
      <w:r>
        <w:t>: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r>
        <w:rPr>
          <w:b/>
        </w:rPr>
        <w:t>Critical Limitations and Reality Check</w:t>
      </w:r>
      <w:r>
        <w:t xml:space="preserve">: The perfect performance observed in simulation (100% success rates, zero variance) is </w:t>
      </w:r>
      <w:r>
        <w:rPr>
          <w:b/>
        </w:rPr>
        <w:t>not</w:t>
      </w:r>
      <w:r>
        <w:t xml:space="preserve"> 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r>
        <w:rPr>
          <w:b/>
        </w:rPr>
        <w:t>Immediate Next Steps—Human Subject Validation is Essential</w:t>
      </w:r>
      <w:r>
        <w:t>: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r>
        <w:rPr>
          <w:b/>
        </w:rPr>
        <w:t>Regulatory and Ethical Requirements</w:t>
      </w:r>
      <w:r>
        <w:t>: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r>
        <w:rPr>
          <w:b/>
        </w:rPr>
        <w:t>Final Assessment</w:t>
      </w:r>
      <w:r>
        <w:t xml:space="preserve">: This proof-of-concept establishes that personality-adaptive conversational AI is technically feasible and produces exceptionally large effect sizes in controlled simulation (d = 4.58, p &lt; 0.001). However, these findings provide </w:t>
      </w:r>
      <w:r>
        <w:rPr>
          <w:b/>
        </w:rPr>
        <w:t>no evidence</w:t>
      </w:r>
      <w:r>
        <w:t xml:space="preserve"> 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p>
      <w:pPr>
        <w:pStyle w:val="Heading1"/>
      </w:pPr>
      <w:r>
        <w:t>Data Availability Statement</w:t>
      </w:r>
    </w:p>
    <w:p>
      <w:r>
        <w:t>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w:t>
      </w:r>
    </w:p>
    <w:p>
      <w:pPr>
        <w:pStyle w:val="Heading1"/>
      </w:pPr>
      <w:r>
        <w:t>Author Contributions</w:t>
      </w:r>
    </w:p>
    <w:p>
      <w:r>
        <w:t>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p>
      <w:pPr>
        <w:pStyle w:val="Heading1"/>
      </w:pPr>
      <w:r>
        <w:t>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