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Introduction</w:t>
      </w:r>
    </w:p>
    <w:p>
      <w:pPr>
        <w:pStyle w:val="Heading2"/>
      </w:pPr>
      <w:r>
        <w:t>Background and Significance</w:t>
      </w:r>
    </w:p>
    <w:p>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r>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pPr>
        <w:pStyle w:val="Heading2"/>
      </w:pPr>
      <w:r>
        <w:t>Current State of the Evidence</w:t>
      </w:r>
    </w:p>
    <w:p>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pPr>
        <w:pStyle w:val="Heading2"/>
      </w:pPr>
      <w:r>
        <w:t>Research Objectives and Expected Contributions</w:t>
      </w:r>
    </w:p>
    <w:p>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validated evaluation framework establishing excellent agreement between AI-based assessment and clinical psychologists (κ = 0.89), addressing concerns about AI-evaluating-AI bias.</w:t>
      </w:r>
    </w:p>
    <w:p>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pPr>
        <w:pStyle w:val="Heading1"/>
      </w:pPr>
      <w:r>
        <w:t>Related Work</w:t>
      </w:r>
    </w:p>
    <w:p>
      <w:r>
        <w:t>This section provides a comprehensive review of research relevant to personality-adaptive conversational AI with potential applications in supportive interaction contexts. We organize the review into five thematic areas aligned with Samuel Devdas's foundational thesis work: (1) challenges and evolution in affective computing, (2) advancements with LLMs and multimodal systems, (3) AI companions and digital interventions for loneliness, (4) personality-aware dialogue systems, and (5) regulation models and evaluation methodologies.</w:t>
      </w:r>
    </w:p>
    <w:p>
      <w:pPr>
        <w:pStyle w:val="Heading2"/>
      </w:pPr>
      <w:r>
        <w:t>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Heading2"/>
      </w:pPr>
      <w:r>
        <w:t>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Heading2"/>
      </w:pPr>
      <w:r>
        <w:t>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Heading2"/>
      </w:pPr>
      <w:r>
        <w:t>Personality-Aware Dialogue Systems and the PROMISE Framework</w:t>
      </w:r>
    </w:p>
    <w:p>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r>
        <w:t>Specifically, the present work implements: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r>
        <w:t>This integration directly addresses critical gaps in the literature by creating a personality-adaptive system validated for healthcare application and grounded in established motivational psychology theory.</w:t>
      </w:r>
    </w:p>
    <w:p>
      <w:pPr>
        <w:pStyle w:val="Heading2"/>
      </w:pPr>
      <w:r>
        <w:t>Regulation Models and Evaluation Frameworks</w:t>
      </w:r>
    </w:p>
    <w:p>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Heading2"/>
      </w:pPr>
      <w:r>
        <w:t>Identified Gaps and Thesis Contribution</w:t>
      </w:r>
    </w:p>
    <w:p>
      <w:r>
        <w:t>Based on comprehensive literature review, three critical research gaps were identified that this work directly addresses:</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Heading1"/>
      </w:pPr>
      <w:r>
        <w:t>Materials and Methods</w:t>
      </w:r>
    </w:p>
    <w:p>
      <w:pPr>
        <w:pStyle w:val="Heading2"/>
      </w:pPr>
      <w:r>
        <w:t>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Evaluation Methodology</w:t>
      </w:r>
    </w:p>
    <w:p>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pPr>
        <w:pStyle w:val="Heading3"/>
      </w:pPr>
      <w:r>
        <w:t>Ethics Statement### 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Personality Detection Module</w:t>
      </w:r>
    </w:p>
    <w:p>
      <w:pPr>
        <w:pStyle w:val="Heading3"/>
      </w:pPr>
      <w:r>
        <w:t>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Behavior Regulation Module</w:t>
      </w:r>
    </w:p>
    <w:p>
      <w:pPr>
        <w:pStyle w:val="Heading3"/>
      </w:pPr>
      <w:r>
        <w:t>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Experimental Protocol</w:t>
      </w:r>
    </w:p>
    <w:p>
      <w:pPr>
        <w:pStyle w:val="Heading3"/>
      </w:pPr>
      <w:r>
        <w:t>Personality Profile Simulation</w:t>
      </w:r>
    </w:p>
    <w:p>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r>
        <w:t>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Big Five Trait</w:t>
            </w:r>
          </w:p>
        </w:tc>
        <w:tc>
          <w:tcPr>
            <w:tcW w:type="dxa" w:w="3307"/>
          </w:tcPr>
          <w:p>
            <w:r>
              <w:rPr>
                <w:rFonts w:ascii="Times New Roman" w:hAnsi="Times New Roman"/>
                <w:b/>
                <w:sz w:val="18"/>
              </w:rPr>
              <w:t>Type A (High-Functioning)</w:t>
            </w:r>
          </w:p>
        </w:tc>
        <w:tc>
          <w:tcPr>
            <w:tcW w:type="dxa" w:w="3307"/>
          </w:tcPr>
          <w:p>
            <w:r>
              <w:rPr>
                <w:rFonts w:ascii="Times New Roman" w:hAnsi="Times New Roman"/>
                <w:b/>
                <w:sz w:val="18"/>
              </w:rPr>
              <w:t>Type B (Vulnerable)</w:t>
            </w:r>
          </w:p>
        </w:tc>
      </w:tr>
      <w:tr>
        <w:tc>
          <w:tcPr>
            <w:tcW w:type="dxa" w:w="3307"/>
          </w:tcPr>
          <w:p>
            <w:r>
              <w:rPr>
                <w:rFonts w:ascii="Times New Roman" w:hAnsi="Times New Roman"/>
                <w:sz w:val="18"/>
              </w:rPr>
              <w:t>Openness</w:t>
            </w:r>
          </w:p>
        </w:tc>
        <w:tc>
          <w:tcPr>
            <w:tcW w:type="dxa" w:w="3307"/>
          </w:tcPr>
          <w:p>
            <w:r>
              <w:rPr>
                <w:rFonts w:ascii="Times New Roman" w:hAnsi="Times New Roman"/>
                <w:sz w:val="18"/>
              </w:rPr>
              <w:t>"I'd love to explore different approaches and try new strategies"</w:t>
            </w:r>
          </w:p>
        </w:tc>
        <w:tc>
          <w:tcPr>
            <w:tcW w:type="dxa" w:w="3307"/>
          </w:tcPr>
          <w:p>
            <w:r>
              <w:rPr>
                <w:rFonts w:ascii="Times New Roman" w:hAnsi="Times New Roman"/>
                <w:sz w:val="18"/>
              </w:rPr>
              <w:t>"I don't see the point in trying new things, let's stick to what works"</w:t>
            </w:r>
          </w:p>
        </w:tc>
      </w:tr>
      <w:tr>
        <w:tc>
          <w:tcPr>
            <w:tcW w:type="dxa" w:w="3307"/>
          </w:tcPr>
          <w:p>
            <w:r>
              <w:rPr>
                <w:rFonts w:ascii="Times New Roman" w:hAnsi="Times New Roman"/>
                <w:sz w:val="18"/>
              </w:rPr>
              <w:t>Conscientiousness</w:t>
            </w:r>
          </w:p>
        </w:tc>
        <w:tc>
          <w:tcPr>
            <w:tcW w:type="dxa" w:w="3307"/>
          </w:tcPr>
          <w:p>
            <w:r>
              <w:rPr>
                <w:rFonts w:ascii="Times New Roman" w:hAnsi="Times New Roman"/>
                <w:sz w:val="18"/>
              </w:rPr>
              <w:t>"Let me organize this systematically and set clear goals"</w:t>
            </w:r>
          </w:p>
        </w:tc>
        <w:tc>
          <w:tcPr>
            <w:tcW w:type="dxa" w:w="3307"/>
          </w:tcPr>
          <w:p>
            <w:r>
              <w:rPr>
                <w:rFonts w:ascii="Times New Roman" w:hAnsi="Times New Roman"/>
                <w:sz w:val="18"/>
              </w:rPr>
              <w:t>"I'll figure it out when I feel like it, no need to rush"</w:t>
            </w:r>
          </w:p>
        </w:tc>
      </w:tr>
      <w:tr>
        <w:tc>
          <w:tcPr>
            <w:tcW w:type="dxa" w:w="3307"/>
          </w:tcPr>
          <w:p>
            <w:r>
              <w:rPr>
                <w:rFonts w:ascii="Times New Roman" w:hAnsi="Times New Roman"/>
                <w:sz w:val="18"/>
              </w:rPr>
              <w:t>Extraversion</w:t>
            </w:r>
          </w:p>
        </w:tc>
        <w:tc>
          <w:tcPr>
            <w:tcW w:type="dxa" w:w="3307"/>
          </w:tcPr>
          <w:p>
            <w:r>
              <w:rPr>
                <w:rFonts w:ascii="Times New Roman" w:hAnsi="Times New Roman"/>
                <w:sz w:val="18"/>
              </w:rPr>
              <w:t>"I'm excited to work together and share my experiences"</w:t>
            </w:r>
          </w:p>
        </w:tc>
        <w:tc>
          <w:tcPr>
            <w:tcW w:type="dxa" w:w="3307"/>
          </w:tcPr>
          <w:p>
            <w:r>
              <w:rPr>
                <w:rFonts w:ascii="Times New Roman" w:hAnsi="Times New Roman"/>
                <w:sz w:val="18"/>
              </w:rPr>
              <w:t>"I need to be alone right now, I'm not in the mood to socialize"</w:t>
            </w:r>
          </w:p>
        </w:tc>
      </w:tr>
      <w:tr>
        <w:tc>
          <w:tcPr>
            <w:tcW w:type="dxa" w:w="3307"/>
          </w:tcPr>
          <w:p>
            <w:r>
              <w:rPr>
                <w:rFonts w:ascii="Times New Roman" w:hAnsi="Times New Roman"/>
                <w:sz w:val="18"/>
              </w:rPr>
              <w:t>Agreeableness</w:t>
            </w:r>
          </w:p>
        </w:tc>
        <w:tc>
          <w:tcPr>
            <w:tcW w:type="dxa" w:w="3307"/>
          </w:tcPr>
          <w:p>
            <w:r>
              <w:rPr>
                <w:rFonts w:ascii="Times New Roman" w:hAnsi="Times New Roman"/>
                <w:sz w:val="18"/>
              </w:rPr>
              <w:t>"I understand and appreciate your perspective, let's collaborate"</w:t>
            </w:r>
          </w:p>
        </w:tc>
        <w:tc>
          <w:tcPr>
            <w:tcW w:type="dxa" w:w="3307"/>
          </w:tcPr>
          <w:p>
            <w:r>
              <w:rPr>
                <w:rFonts w:ascii="Times New Roman" w:hAnsi="Times New Roman"/>
                <w:sz w:val="18"/>
              </w:rPr>
              <w:t>"Actually, I disagree with that approach, it won't work for me"</w:t>
            </w:r>
          </w:p>
        </w:tc>
      </w:tr>
      <w:tr>
        <w:tc>
          <w:tcPr>
            <w:tcW w:type="dxa" w:w="3307"/>
          </w:tcPr>
          <w:p>
            <w:r>
              <w:rPr>
                <w:rFonts w:ascii="Times New Roman" w:hAnsi="Times New Roman"/>
                <w:sz w:val="18"/>
              </w:rPr>
              <w:t>Neuroticism</w:t>
            </w:r>
          </w:p>
        </w:tc>
        <w:tc>
          <w:tcPr>
            <w:tcW w:type="dxa" w:w="3307"/>
          </w:tcPr>
          <w:p>
            <w:r>
              <w:rPr>
                <w:rFonts w:ascii="Times New Roman" w:hAnsi="Times New Roman"/>
                <w:sz w:val="18"/>
              </w:rPr>
              <w:t>"I feel confident we can handle this together"</w:t>
            </w:r>
          </w:p>
        </w:tc>
        <w:tc>
          <w:tcPr>
            <w:tcW w:type="dxa" w:w="3307"/>
          </w:tcPr>
          <w:p>
            <w:r>
              <w:rPr>
                <w:rFonts w:ascii="Times New Roman" w:hAnsi="Times New Roman"/>
                <w:sz w:val="18"/>
              </w:rPr>
              <w:t>"I'm worried this will make things worse, I don't feel safe"</w:t>
            </w:r>
          </w:p>
        </w:tc>
      </w:tr>
    </w:tbl>
    <w:p/>
    <w:p>
      <w:pPr>
        <w:pStyle w:val="Heading3"/>
      </w:pPr>
      <w:r>
        <w:t>Agent Configuration</w:t>
      </w:r>
    </w:p>
    <w:p>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Component</w:t>
            </w:r>
          </w:p>
        </w:tc>
        <w:tc>
          <w:tcPr>
            <w:tcW w:type="dxa" w:w="2480"/>
          </w:tcPr>
          <w:p>
            <w:r>
              <w:rPr>
                <w:rFonts w:ascii="Times New Roman" w:hAnsi="Times New Roman"/>
                <w:b/>
                <w:sz w:val="18"/>
              </w:rPr>
              <w:t>Regulated Agents</w:t>
            </w:r>
          </w:p>
        </w:tc>
        <w:tc>
          <w:tcPr>
            <w:tcW w:type="dxa" w:w="2480"/>
          </w:tcPr>
          <w:p>
            <w:r>
              <w:rPr>
                <w:rFonts w:ascii="Times New Roman" w:hAnsi="Times New Roman"/>
                <w:b/>
                <w:sz w:val="18"/>
              </w:rPr>
              <w:t>Baseline Agents</w:t>
            </w:r>
          </w:p>
        </w:tc>
        <w:tc>
          <w:tcPr>
            <w:tcW w:type="dxa" w:w="2480"/>
          </w:tcPr>
          <w:p>
            <w:r>
              <w:rPr>
                <w:rFonts w:ascii="Times New Roman" w:hAnsi="Times New Roman"/>
                <w:b/>
                <w:sz w:val="18"/>
              </w:rPr>
              <w:t>Total</w:t>
            </w:r>
          </w:p>
        </w:tc>
      </w:tr>
      <w:tr>
        <w:tc>
          <w:tcPr>
            <w:tcW w:type="dxa" w:w="2480"/>
          </w:tcPr>
          <w:p>
            <w:r>
              <w:rPr>
                <w:rFonts w:ascii="Times New Roman" w:hAnsi="Times New Roman"/>
                <w:sz w:val="18"/>
              </w:rPr>
              <w:t>Per Personality Type</w:t>
            </w:r>
          </w:p>
        </w:tc>
        <w:tc>
          <w:tcPr>
            <w:tcW w:type="dxa" w:w="2480"/>
          </w:tcPr>
          <w:p>
            <w:r>
              <w:rPr>
                <w:rFonts w:ascii="Times New Roman" w:hAnsi="Times New Roman"/>
                <w:sz w:val="18"/>
              </w:rPr>
              <w:t>5 agents</w:t>
            </w:r>
          </w:p>
        </w:tc>
        <w:tc>
          <w:tcPr>
            <w:tcW w:type="dxa" w:w="2480"/>
          </w:tcPr>
          <w:p>
            <w:r>
              <w:rPr>
                <w:rFonts w:ascii="Times New Roman" w:hAnsi="Times New Roman"/>
                <w:sz w:val="18"/>
              </w:rPr>
              <w:t>5 agents</w:t>
            </w:r>
          </w:p>
        </w:tc>
        <w:tc>
          <w:tcPr>
            <w:tcW w:type="dxa" w:w="2480"/>
          </w:tcPr>
          <w:p>
            <w:r>
              <w:rPr>
                <w:rFonts w:ascii="Times New Roman" w:hAnsi="Times New Roman"/>
                <w:sz w:val="18"/>
              </w:rPr>
              <w:t>10 agents</w:t>
            </w:r>
          </w:p>
        </w:tc>
      </w:tr>
      <w:tr>
        <w:tc>
          <w:tcPr>
            <w:tcW w:type="dxa" w:w="2480"/>
          </w:tcPr>
          <w:p>
            <w:r>
              <w:rPr>
                <w:rFonts w:ascii="Times New Roman" w:hAnsi="Times New Roman"/>
                <w:sz w:val="18"/>
              </w:rPr>
              <w:t>Personality Types</w:t>
            </w:r>
          </w:p>
        </w:tc>
        <w:tc>
          <w:tcPr>
            <w:tcW w:type="dxa" w:w="2480"/>
          </w:tcPr>
          <w:p>
            <w:r>
              <w:rPr>
                <w:rFonts w:ascii="Times New Roman" w:hAnsi="Times New Roman"/>
                <w:sz w:val="18"/>
              </w:rPr>
              <w:t>Type A + Type B</w:t>
            </w:r>
          </w:p>
        </w:tc>
        <w:tc>
          <w:tcPr>
            <w:tcW w:type="dxa" w:w="2480"/>
          </w:tcPr>
          <w:p>
            <w:r>
              <w:rPr>
                <w:rFonts w:ascii="Times New Roman" w:hAnsi="Times New Roman"/>
                <w:sz w:val="18"/>
              </w:rPr>
              <w:t>Type A + Type B</w:t>
            </w:r>
          </w:p>
        </w:tc>
        <w:tc>
          <w:tcPr>
            <w:tcW w:type="dxa" w:w="2480"/>
          </w:tcPr>
          <w:p>
            <w:r>
              <w:rPr>
                <w:rFonts w:ascii="Times New Roman" w:hAnsi="Times New Roman"/>
                <w:sz w:val="18"/>
              </w:rPr>
              <w:t>2 types</w:t>
            </w:r>
          </w:p>
        </w:tc>
      </w:tr>
      <w:tr>
        <w:tc>
          <w:tcPr>
            <w:tcW w:type="dxa" w:w="2480"/>
          </w:tcPr>
          <w:p>
            <w:r>
              <w:rPr>
                <w:rFonts w:ascii="Times New Roman" w:hAnsi="Times New Roman"/>
                <w:sz w:val="18"/>
              </w:rPr>
              <w:t>Overall Agent Count</w:t>
            </w:r>
          </w:p>
        </w:tc>
        <w:tc>
          <w:tcPr>
            <w:tcW w:type="dxa" w:w="2480"/>
          </w:tcPr>
          <w:p>
            <w:r>
              <w:rPr>
                <w:rFonts w:ascii="Times New Roman" w:hAnsi="Times New Roman"/>
                <w:sz w:val="18"/>
              </w:rPr>
              <w:t>10 agents</w:t>
            </w:r>
          </w:p>
        </w:tc>
        <w:tc>
          <w:tcPr>
            <w:tcW w:type="dxa" w:w="2480"/>
          </w:tcPr>
          <w:p>
            <w:r>
              <w:rPr>
                <w:rFonts w:ascii="Times New Roman" w:hAnsi="Times New Roman"/>
                <w:sz w:val="18"/>
              </w:rPr>
              <w:t>10 agents</w:t>
            </w:r>
          </w:p>
        </w:tc>
        <w:tc>
          <w:tcPr>
            <w:tcW w:type="dxa" w:w="2480"/>
          </w:tcPr>
          <w:p>
            <w:r>
              <w:rPr>
                <w:rFonts w:ascii="Times New Roman" w:hAnsi="Times New Roman"/>
                <w:sz w:val="18"/>
              </w:rPr>
              <w:t>20 agents</w:t>
            </w:r>
          </w:p>
        </w:tc>
      </w:tr>
      <w:tr>
        <w:tc>
          <w:tcPr>
            <w:tcW w:type="dxa" w:w="2480"/>
          </w:tcPr>
          <w:p>
            <w:r>
              <w:rPr>
                <w:rFonts w:ascii="Times New Roman" w:hAnsi="Times New Roman"/>
                <w:sz w:val="18"/>
              </w:rPr>
              <w:t>Dialogue Turns</w:t>
            </w:r>
          </w:p>
        </w:tc>
        <w:tc>
          <w:tcPr>
            <w:tcW w:type="dxa" w:w="2480"/>
          </w:tcPr>
          <w:p>
            <w:r>
              <w:rPr>
                <w:rFonts w:ascii="Times New Roman" w:hAnsi="Times New Roman"/>
                <w:sz w:val="18"/>
              </w:rPr>
              <w:t>30 turns × 2 = 60</w:t>
            </w:r>
          </w:p>
        </w:tc>
        <w:tc>
          <w:tcPr>
            <w:tcW w:type="dxa" w:w="2480"/>
          </w:tcPr>
          <w:p>
            <w:r>
              <w:rPr>
                <w:rFonts w:ascii="Times New Roman" w:hAnsi="Times New Roman"/>
                <w:sz w:val="18"/>
              </w:rPr>
              <w:t>30 turns × 2 = 60</w:t>
            </w:r>
          </w:p>
        </w:tc>
        <w:tc>
          <w:tcPr>
            <w:tcW w:type="dxa" w:w="2480"/>
          </w:tcPr>
          <w:p>
            <w:r>
              <w:rPr>
                <w:rFonts w:ascii="Times New Roman" w:hAnsi="Times New Roman"/>
                <w:sz w:val="18"/>
              </w:rPr>
              <w:t>120 total</w:t>
            </w:r>
          </w:p>
        </w:tc>
      </w:tr>
      <w:tr>
        <w:tc>
          <w:tcPr>
            <w:tcW w:type="dxa" w:w="2480"/>
          </w:tcPr>
          <w:p>
            <w:r>
              <w:rPr>
                <w:rFonts w:ascii="Times New Roman" w:hAnsi="Times New Roman"/>
                <w:sz w:val="18"/>
              </w:rPr>
              <w:t>Key Feature</w:t>
            </w:r>
          </w:p>
        </w:tc>
        <w:tc>
          <w:tcPr>
            <w:tcW w:type="dxa" w:w="2480"/>
          </w:tcPr>
          <w:p>
            <w:r>
              <w:rPr>
                <w:rFonts w:ascii="Times New Roman" w:hAnsi="Times New Roman"/>
                <w:sz w:val="18"/>
              </w:rPr>
              <w:t>Dynamic detection + regulation per turn</w:t>
            </w:r>
          </w:p>
        </w:tc>
        <w:tc>
          <w:tcPr>
            <w:tcW w:type="dxa" w:w="2480"/>
          </w:tcPr>
          <w:p>
            <w:r>
              <w:rPr>
                <w:rFonts w:ascii="Times New Roman" w:hAnsi="Times New Roman"/>
                <w:sz w:val="18"/>
              </w:rPr>
              <w:t>Static supportive prompts</w:t>
            </w:r>
          </w:p>
        </w:tc>
        <w:tc>
          <w:tcPr>
            <w:tcW w:type="dxa" w:w="2480"/>
          </w:tcPr>
          <w:p>
            <w:r>
              <w:rPr>
                <w:rFonts w:ascii="Times New Roman" w:hAnsi="Times New Roman"/>
                <w:sz w:val="18"/>
              </w:rPr>
              <w:t>Comparative design</w:t>
            </w:r>
          </w:p>
        </w:tc>
      </w:tr>
    </w:tbl>
    <w:p/>
    <w:p>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pPr>
        <w:pStyle w:val="Heading3"/>
      </w:pPr>
      <w:r>
        <w:t>Dialogue Structure and Control</w:t>
      </w:r>
    </w:p>
    <w:p>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r>
        <w:t>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p>
      <w:pPr>
        <w:pStyle w:val="Heading3"/>
      </w:pPr>
      <w:r>
        <w:t>Evaluation Framework</w:t>
      </w:r>
    </w:p>
    <w:p>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Evaluation Criterion</w:t>
            </w:r>
          </w:p>
        </w:tc>
        <w:tc>
          <w:tcPr>
            <w:tcW w:type="dxa" w:w="2480"/>
          </w:tcPr>
          <w:p>
            <w:r>
              <w:rPr>
                <w:rFonts w:ascii="Times New Roman" w:hAnsi="Times New Roman"/>
                <w:b/>
                <w:sz w:val="18"/>
              </w:rPr>
              <w:t>Regulated Agents</w:t>
            </w:r>
          </w:p>
        </w:tc>
        <w:tc>
          <w:tcPr>
            <w:tcW w:type="dxa" w:w="2480"/>
          </w:tcPr>
          <w:p>
            <w:r>
              <w:rPr>
                <w:rFonts w:ascii="Times New Roman" w:hAnsi="Times New Roman"/>
                <w:b/>
                <w:sz w:val="18"/>
              </w:rPr>
              <w:t>Baseline Agents</w:t>
            </w:r>
          </w:p>
        </w:tc>
        <w:tc>
          <w:tcPr>
            <w:tcW w:type="dxa" w:w="2480"/>
          </w:tcPr>
          <w:p>
            <w:r>
              <w:rPr>
                <w:rFonts w:ascii="Times New Roman" w:hAnsi="Times New Roman"/>
                <w:b/>
                <w:sz w:val="18"/>
              </w:rPr>
              <w:t>Purpose</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Measures whether personality traits are correctly inferred from linguistic patterns</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Measures whether adapted responses align with detected traits and Zurich Model principles</w:t>
            </w:r>
          </w:p>
        </w:tc>
      </w:tr>
      <w:tr>
        <w:tc>
          <w:tcPr>
            <w:tcW w:type="dxa" w:w="2480"/>
          </w:tcPr>
          <w:p>
            <w:r>
              <w:rPr>
                <w:rFonts w:ascii="Times New Roman" w:hAnsi="Times New Roman"/>
                <w:sz w:val="18"/>
              </w:rPr>
              <w:t>Emotional Tone Appropriateness</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Baseline quality metric: appropriate warmth and attunement</w:t>
            </w:r>
          </w:p>
        </w:tc>
      </w:tr>
      <w:tr>
        <w:tc>
          <w:tcPr>
            <w:tcW w:type="dxa" w:w="2480"/>
          </w:tcPr>
          <w:p>
            <w:r>
              <w:rPr>
                <w:rFonts w:ascii="Times New Roman" w:hAnsi="Times New Roman"/>
                <w:sz w:val="18"/>
              </w:rPr>
              <w:t>Relevance &amp; Coherence</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Baseline quality metric: logical continuation and dialogue coherence</w:t>
            </w:r>
          </w:p>
        </w:tc>
      </w:tr>
      <w:tr>
        <w:tc>
          <w:tcPr>
            <w:tcW w:type="dxa" w:w="2480"/>
          </w:tcPr>
          <w:p>
            <w:r>
              <w:rPr>
                <w:rFonts w:ascii="Times New Roman" w:hAnsi="Times New Roman"/>
                <w:sz w:val="18"/>
              </w:rPr>
              <w:t>Personality Needs Addressed</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Personality-specific effectiveness: trait-appropriate support and strategies</w:t>
            </w:r>
          </w:p>
        </w:tc>
      </w:tr>
    </w:tbl>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Score</w:t>
            </w:r>
          </w:p>
        </w:tc>
        <w:tc>
          <w:tcPr>
            <w:tcW w:type="dxa" w:w="3307"/>
          </w:tcPr>
          <w:p>
            <w:r>
              <w:rPr>
                <w:rFonts w:ascii="Times New Roman" w:hAnsi="Times New Roman"/>
                <w:b/>
                <w:sz w:val="18"/>
              </w:rPr>
              <w:t>Rating</w:t>
            </w:r>
          </w:p>
        </w:tc>
        <w:tc>
          <w:tcPr>
            <w:tcW w:type="dxa" w:w="3307"/>
          </w:tcPr>
          <w:p>
            <w:r>
              <w:rPr>
                <w:rFonts w:ascii="Times New Roman" w:hAnsi="Times New Roman"/>
                <w:b/>
                <w:sz w:val="18"/>
              </w:rPr>
              <w:t>Definition</w:t>
            </w:r>
          </w:p>
        </w:tc>
      </w:tr>
      <w:tr>
        <w:tc>
          <w:tcPr>
            <w:tcW w:type="dxa" w:w="3307"/>
          </w:tcPr>
          <w:p>
            <w:r>
              <w:rPr>
                <w:rFonts w:ascii="Times New Roman" w:hAnsi="Times New Roman"/>
                <w:sz w:val="18"/>
              </w:rPr>
              <w:t>2</w:t>
            </w:r>
          </w:p>
        </w:tc>
        <w:tc>
          <w:tcPr>
            <w:tcW w:type="dxa" w:w="3307"/>
          </w:tcPr>
          <w:p>
            <w:r>
              <w:rPr>
                <w:rFonts w:ascii="Times New Roman" w:hAnsi="Times New Roman"/>
                <w:sz w:val="18"/>
              </w:rPr>
              <w:t>Yes</w:t>
            </w:r>
          </w:p>
        </w:tc>
        <w:tc>
          <w:tcPr>
            <w:tcW w:type="dxa" w:w="3307"/>
          </w:tcPr>
          <w:p>
            <w:r>
              <w:rPr>
                <w:rFonts w:ascii="Times New Roman" w:hAnsi="Times New Roman"/>
                <w:sz w:val="18"/>
              </w:rPr>
              <w:t>Strong alignment with evaluation criterion; clear evidence of desired quality</w:t>
            </w:r>
          </w:p>
        </w:tc>
      </w:tr>
      <w:tr>
        <w:tc>
          <w:tcPr>
            <w:tcW w:type="dxa" w:w="3307"/>
          </w:tcPr>
          <w:p>
            <w:r>
              <w:rPr>
                <w:rFonts w:ascii="Times New Roman" w:hAnsi="Times New Roman"/>
                <w:sz w:val="18"/>
              </w:rPr>
              <w:t>1</w:t>
            </w:r>
          </w:p>
        </w:tc>
        <w:tc>
          <w:tcPr>
            <w:tcW w:type="dxa" w:w="3307"/>
          </w:tcPr>
          <w:p>
            <w:r>
              <w:rPr>
                <w:rFonts w:ascii="Times New Roman" w:hAnsi="Times New Roman"/>
                <w:sz w:val="18"/>
              </w:rPr>
              <w:t>Not Sure</w:t>
            </w:r>
          </w:p>
        </w:tc>
        <w:tc>
          <w:tcPr>
            <w:tcW w:type="dxa" w:w="3307"/>
          </w:tcPr>
          <w:p>
            <w:r>
              <w:rPr>
                <w:rFonts w:ascii="Times New Roman" w:hAnsi="Times New Roman"/>
                <w:sz w:val="18"/>
              </w:rPr>
              <w:t>Partial alignment or ambiguous cases; criterion partially met or unclear</w:t>
            </w:r>
          </w:p>
        </w:tc>
      </w:tr>
      <w:tr>
        <w:tc>
          <w:tcPr>
            <w:tcW w:type="dxa" w:w="3307"/>
          </w:tcPr>
          <w:p>
            <w:r>
              <w:rPr>
                <w:rFonts w:ascii="Times New Roman" w:hAnsi="Times New Roman"/>
                <w:sz w:val="18"/>
              </w:rPr>
              <w:t>0</w:t>
            </w:r>
          </w:p>
        </w:tc>
        <w:tc>
          <w:tcPr>
            <w:tcW w:type="dxa" w:w="3307"/>
          </w:tcPr>
          <w:p>
            <w:r>
              <w:rPr>
                <w:rFonts w:ascii="Times New Roman" w:hAnsi="Times New Roman"/>
                <w:sz w:val="18"/>
              </w:rPr>
              <w:t>No</w:t>
            </w:r>
          </w:p>
        </w:tc>
        <w:tc>
          <w:tcPr>
            <w:tcW w:type="dxa" w:w="3307"/>
          </w:tcPr>
          <w:p>
            <w:r>
              <w:rPr>
                <w:rFonts w:ascii="Times New Roman" w:hAnsi="Times New Roman"/>
                <w:sz w:val="18"/>
              </w:rPr>
              <w:t>Clear misalignment with evaluation criterion; criterion not met</w:t>
            </w:r>
          </w:p>
        </w:tc>
      </w:tr>
    </w:tbl>
    <w:p/>
    <w:p>
      <w:pPr>
        <w:pStyle w:val="Heading3"/>
      </w:pPr>
      <w:r>
        <w:t>Human-Expert Validation Protocol</w:t>
      </w:r>
    </w:p>
    <w:p>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Dimension</w:t>
            </w:r>
          </w:p>
        </w:tc>
        <w:tc>
          <w:tcPr>
            <w:tcW w:type="dxa" w:w="3307"/>
          </w:tcPr>
          <w:p>
            <w:r>
              <w:rPr>
                <w:rFonts w:ascii="Times New Roman" w:hAnsi="Times New Roman"/>
                <w:b/>
                <w:sz w:val="18"/>
              </w:rPr>
              <w:t>Expert 1</w:t>
            </w:r>
          </w:p>
        </w:tc>
        <w:tc>
          <w:tcPr>
            <w:tcW w:type="dxa" w:w="3307"/>
          </w:tcPr>
          <w:p>
            <w:r>
              <w:rPr>
                <w:rFonts w:ascii="Times New Roman" w:hAnsi="Times New Roman"/>
                <w:b/>
                <w:sz w:val="18"/>
              </w:rPr>
              <w:t>Expert 2</w:t>
            </w:r>
          </w:p>
        </w:tc>
      </w:tr>
      <w:tr>
        <w:tc>
          <w:tcPr>
            <w:tcW w:type="dxa" w:w="3307"/>
          </w:tcPr>
          <w:p>
            <w:r>
              <w:rPr>
                <w:rFonts w:ascii="Times New Roman" w:hAnsi="Times New Roman"/>
                <w:sz w:val="18"/>
              </w:rPr>
              <w:t>Degree</w:t>
            </w:r>
          </w:p>
        </w:tc>
        <w:tc>
          <w:tcPr>
            <w:tcW w:type="dxa" w:w="3307"/>
          </w:tcPr>
          <w:p>
            <w:r>
              <w:rPr>
                <w:rFonts w:ascii="Times New Roman" w:hAnsi="Times New Roman"/>
                <w:sz w:val="18"/>
              </w:rPr>
              <w:t>PhD in Clinical Psychology</w:t>
            </w:r>
          </w:p>
        </w:tc>
        <w:tc>
          <w:tcPr>
            <w:tcW w:type="dxa" w:w="3307"/>
          </w:tcPr>
          <w:p>
            <w:r>
              <w:rPr>
                <w:rFonts w:ascii="Times New Roman" w:hAnsi="Times New Roman"/>
                <w:sz w:val="18"/>
              </w:rPr>
              <w:t>PhD in Computer Science</w:t>
            </w:r>
          </w:p>
        </w:tc>
      </w:tr>
      <w:tr>
        <w:tc>
          <w:tcPr>
            <w:tcW w:type="dxa" w:w="3307"/>
          </w:tcPr>
          <w:p>
            <w:r>
              <w:rPr>
                <w:rFonts w:ascii="Times New Roman" w:hAnsi="Times New Roman"/>
                <w:sz w:val="18"/>
              </w:rPr>
              <w:t>Specialization</w:t>
            </w:r>
          </w:p>
        </w:tc>
        <w:tc>
          <w:tcPr>
            <w:tcW w:type="dxa" w:w="3307"/>
          </w:tcPr>
          <w:p>
            <w:r>
              <w:rPr>
                <w:rFonts w:ascii="Times New Roman" w:hAnsi="Times New Roman"/>
                <w:sz w:val="18"/>
              </w:rPr>
              <w:t>Mental Health Interventions</w:t>
            </w:r>
          </w:p>
        </w:tc>
        <w:tc>
          <w:tcPr>
            <w:tcW w:type="dxa" w:w="3307"/>
          </w:tcPr>
          <w:p>
            <w:r>
              <w:rPr>
                <w:rFonts w:ascii="Times New Roman" w:hAnsi="Times New Roman"/>
                <w:sz w:val="18"/>
              </w:rPr>
              <w:t>AI-based Healthcare Systems</w:t>
            </w:r>
          </w:p>
        </w:tc>
      </w:tr>
      <w:tr>
        <w:tc>
          <w:tcPr>
            <w:tcW w:type="dxa" w:w="3307"/>
          </w:tcPr>
          <w:p>
            <w:r>
              <w:rPr>
                <w:rFonts w:ascii="Times New Roman" w:hAnsi="Times New Roman"/>
                <w:sz w:val="18"/>
              </w:rPr>
              <w:t>Years of Experience</w:t>
            </w:r>
          </w:p>
        </w:tc>
        <w:tc>
          <w:tcPr>
            <w:tcW w:type="dxa" w:w="3307"/>
          </w:tcPr>
          <w:p>
            <w:r>
              <w:rPr>
                <w:rFonts w:ascii="Times New Roman" w:hAnsi="Times New Roman"/>
                <w:sz w:val="18"/>
              </w:rPr>
              <w:t>14 years</w:t>
            </w:r>
          </w:p>
        </w:tc>
        <w:tc>
          <w:tcPr>
            <w:tcW w:type="dxa" w:w="3307"/>
          </w:tcPr>
          <w:p>
            <w:r>
              <w:rPr>
                <w:rFonts w:ascii="Times New Roman" w:hAnsi="Times New Roman"/>
                <w:sz w:val="18"/>
              </w:rPr>
              <w:t>10 years</w:t>
            </w:r>
          </w:p>
        </w:tc>
      </w:tr>
      <w:tr>
        <w:tc>
          <w:tcPr>
            <w:tcW w:type="dxa" w:w="3307"/>
          </w:tcPr>
          <w:p>
            <w:r>
              <w:rPr>
                <w:rFonts w:ascii="Times New Roman" w:hAnsi="Times New Roman"/>
                <w:sz w:val="18"/>
              </w:rPr>
              <w:t>Primary Expertise Domain</w:t>
            </w:r>
          </w:p>
        </w:tc>
        <w:tc>
          <w:tcPr>
            <w:tcW w:type="dxa" w:w="3307"/>
          </w:tcPr>
          <w:p>
            <w:r>
              <w:rPr>
                <w:rFonts w:ascii="Times New Roman" w:hAnsi="Times New Roman"/>
                <w:sz w:val="18"/>
              </w:rPr>
              <w:t>Clinical/Psychological assessment</w:t>
            </w:r>
          </w:p>
        </w:tc>
        <w:tc>
          <w:tcPr>
            <w:tcW w:type="dxa" w:w="3307"/>
          </w:tcPr>
          <w:p>
            <w:r>
              <w:rPr>
                <w:rFonts w:ascii="Times New Roman" w:hAnsi="Times New Roman"/>
                <w:sz w:val="18"/>
              </w:rPr>
              <w:t>Technical/AI methodology</w:t>
            </w:r>
          </w:p>
        </w:tc>
      </w:tr>
      <w:tr>
        <w:tc>
          <w:tcPr>
            <w:tcW w:type="dxa" w:w="3307"/>
          </w:tcPr>
          <w:p>
            <w:r>
              <w:rPr>
                <w:rFonts w:ascii="Times New Roman" w:hAnsi="Times New Roman"/>
                <w:sz w:val="18"/>
              </w:rPr>
              <w:t>AI Evaluation Training</w:t>
            </w:r>
          </w:p>
        </w:tc>
        <w:tc>
          <w:tcPr>
            <w:tcW w:type="dxa" w:w="3307"/>
          </w:tcPr>
          <w:p>
            <w:r>
              <w:rPr>
                <w:rFonts w:ascii="Times New Roman" w:hAnsi="Times New Roman"/>
                <w:sz w:val="18"/>
              </w:rPr>
              <w:t>Healthcare AI systems validation</w:t>
            </w:r>
          </w:p>
        </w:tc>
        <w:tc>
          <w:tcPr>
            <w:tcW w:type="dxa" w:w="3307"/>
          </w:tcPr>
          <w:p>
            <w:r>
              <w:rPr>
                <w:rFonts w:ascii="Times New Roman" w:hAnsi="Times New Roman"/>
                <w:sz w:val="18"/>
              </w:rPr>
              <w:t>Algorithmic bias assessment</w:t>
            </w:r>
          </w:p>
        </w:tc>
      </w:tr>
      <w:tr>
        <w:tc>
          <w:tcPr>
            <w:tcW w:type="dxa" w:w="3307"/>
          </w:tcPr>
          <w:p>
            <w:r>
              <w:rPr>
                <w:rFonts w:ascii="Times New Roman" w:hAnsi="Times New Roman"/>
                <w:sz w:val="18"/>
              </w:rPr>
              <w:t>Domain Qualification</w:t>
            </w:r>
          </w:p>
        </w:tc>
        <w:tc>
          <w:tcPr>
            <w:tcW w:type="dxa" w:w="3307"/>
          </w:tcPr>
          <w:p>
            <w:r>
              <w:rPr>
                <w:rFonts w:ascii="Times New Roman" w:hAnsi="Times New Roman"/>
                <w:sz w:val="18"/>
              </w:rPr>
              <w:t>≥3 years evaluating AI-generated mental health content</w:t>
            </w:r>
          </w:p>
        </w:tc>
        <w:tc>
          <w:tcPr>
            <w:tcW w:type="dxa" w:w="3307"/>
          </w:tcPr>
          <w:p>
            <w:r>
              <w:rPr>
                <w:rFonts w:ascii="Times New Roman" w:hAnsi="Times New Roman"/>
                <w:sz w:val="18"/>
              </w:rPr>
              <w:t>≥3 years evaluating AI systems in healthcare</w:t>
            </w:r>
          </w:p>
        </w:tc>
      </w:tr>
    </w:tbl>
    <w:p/>
    <w:p>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tbl>
      <w:tblPr>
        <w:tblStyle w:val="LightGrid-Accent1"/>
        <w:tblW w:type="auto" w:w="0"/>
        <w:tblLook w:firstColumn="1" w:firstRow="1" w:lastColumn="0" w:lastRow="0" w:noHBand="0" w:noVBand="1" w:val="04A0"/>
      </w:tblPr>
      <w:tblGrid>
        <w:gridCol w:w="4961"/>
        <w:gridCol w:w="4961"/>
      </w:tblGrid>
      <w:tr>
        <w:tc>
          <w:tcPr>
            <w:tcW w:type="dxa" w:w="4961"/>
          </w:tcPr>
          <w:p>
            <w:r>
              <w:rPr>
                <w:rFonts w:ascii="Times New Roman" w:hAnsi="Times New Roman"/>
                <w:b/>
                <w:sz w:val="18"/>
              </w:rPr>
              <w:t>Stratification Dimension</w:t>
            </w:r>
          </w:p>
        </w:tc>
        <w:tc>
          <w:tcPr>
            <w:tcW w:type="dxa" w:w="4961"/>
          </w:tcPr>
          <w:p>
            <w:r>
              <w:rPr>
                <w:rFonts w:ascii="Times New Roman" w:hAnsi="Times New Roman"/>
                <w:b/>
                <w:sz w:val="18"/>
              </w:rPr>
              <w:t>Details</w:t>
            </w:r>
          </w:p>
        </w:tc>
      </w:tr>
      <w:tr>
        <w:tc>
          <w:tcPr>
            <w:tcW w:type="dxa" w:w="4961"/>
          </w:tcPr>
          <w:p>
            <w:r>
              <w:rPr>
                <w:rFonts w:ascii="Times New Roman" w:hAnsi="Times New Roman"/>
                <w:sz w:val="18"/>
              </w:rPr>
              <w:t>Sample Size</w:t>
            </w:r>
          </w:p>
        </w:tc>
        <w:tc>
          <w:tcPr>
            <w:tcW w:type="dxa" w:w="4961"/>
          </w:tcPr>
          <w:p>
            <w:r>
              <w:rPr>
                <w:rFonts w:ascii="Times New Roman" w:hAnsi="Times New Roman"/>
                <w:sz w:val="18"/>
              </w:rPr>
              <w:t>30 dialogue turns from 120 total (25% validation rate)</w:t>
            </w:r>
          </w:p>
        </w:tc>
      </w:tr>
      <w:tr>
        <w:tc>
          <w:tcPr>
            <w:tcW w:type="dxa" w:w="4961"/>
          </w:tcPr>
          <w:p>
            <w:r>
              <w:rPr>
                <w:rFonts w:ascii="Times New Roman" w:hAnsi="Times New Roman"/>
                <w:sz w:val="18"/>
              </w:rPr>
              <w:t>Condition Balance</w:t>
            </w:r>
          </w:p>
        </w:tc>
        <w:tc>
          <w:tcPr>
            <w:tcW w:type="dxa" w:w="4961"/>
          </w:tcPr>
          <w:p>
            <w:r>
              <w:rPr>
                <w:rFonts w:ascii="Times New Roman" w:hAnsi="Times New Roman"/>
                <w:sz w:val="18"/>
              </w:rPr>
              <w:t>15 regulated, 15 baseline</w:t>
            </w:r>
          </w:p>
        </w:tc>
      </w:tr>
      <w:tr>
        <w:tc>
          <w:tcPr>
            <w:tcW w:type="dxa" w:w="4961"/>
          </w:tcPr>
          <w:p>
            <w:r>
              <w:rPr>
                <w:rFonts w:ascii="Times New Roman" w:hAnsi="Times New Roman"/>
                <w:sz w:val="18"/>
              </w:rPr>
              <w:t>Personality Type</w:t>
            </w:r>
          </w:p>
        </w:tc>
        <w:tc>
          <w:tcPr>
            <w:tcW w:type="dxa" w:w="4961"/>
          </w:tcPr>
          <w:p>
            <w:r>
              <w:rPr>
                <w:rFonts w:ascii="Times New Roman" w:hAnsi="Times New Roman"/>
                <w:sz w:val="18"/>
              </w:rPr>
              <w:t>15 Type A, 15 Type B</w:t>
            </w:r>
          </w:p>
        </w:tc>
      </w:tr>
      <w:tr>
        <w:tc>
          <w:tcPr>
            <w:tcW w:type="dxa" w:w="4961"/>
          </w:tcPr>
          <w:p>
            <w:r>
              <w:rPr>
                <w:rFonts w:ascii="Times New Roman" w:hAnsi="Times New Roman"/>
                <w:sz w:val="18"/>
              </w:rPr>
              <w:t>Turn Sequence</w:t>
            </w:r>
          </w:p>
        </w:tc>
        <w:tc>
          <w:tcPr>
            <w:tcW w:type="dxa" w:w="4961"/>
          </w:tcPr>
          <w:p>
            <w:r>
              <w:rPr>
                <w:rFonts w:ascii="Times New Roman" w:hAnsi="Times New Roman"/>
                <w:sz w:val="18"/>
              </w:rPr>
              <w:t>10 early (turns 1-2), 10 mid (turns 3-4), 10 late (turns 5-6)</w:t>
            </w:r>
          </w:p>
        </w:tc>
      </w:tr>
      <w:tr>
        <w:tc>
          <w:tcPr>
            <w:tcW w:type="dxa" w:w="4961"/>
          </w:tcPr>
          <w:p>
            <w:r>
              <w:rPr>
                <w:rFonts w:ascii="Times New Roman" w:hAnsi="Times New Roman"/>
                <w:sz w:val="18"/>
              </w:rPr>
              <w:t>Sampling Procedure</w:t>
            </w:r>
          </w:p>
        </w:tc>
        <w:tc>
          <w:tcPr>
            <w:tcW w:type="dxa" w:w="4961"/>
          </w:tcPr>
          <w:p>
            <w:r>
              <w:rPr>
                <w:rFonts w:ascii="Times New Roman" w:hAnsi="Times New Roman"/>
                <w:sz w:val="18"/>
              </w:rPr>
              <w:t>Stratified random sampling with random number generation under stratification constraints</w:t>
            </w:r>
          </w:p>
        </w:tc>
      </w:tr>
    </w:tbl>
    <w:p/>
    <w:p>
      <w:r>
        <w:rPr>
          <w:b/>
        </w:rPr>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pPr>
        <w:pStyle w:val="Heading3"/>
      </w:pPr>
      <w:r>
        <w:t>Validation Results</w:t>
      </w:r>
    </w:p>
    <w:p>
      <w:r>
        <w:t>The human-expert validation study produced three critical findings:</w:t>
      </w:r>
    </w:p>
    <w:p>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Reliability Metric</w:t>
            </w:r>
          </w:p>
        </w:tc>
        <w:tc>
          <w:tcPr>
            <w:tcW w:type="dxa" w:w="1984"/>
          </w:tcPr>
          <w:p>
            <w:r>
              <w:rPr>
                <w:rFonts w:ascii="Times New Roman" w:hAnsi="Times New Roman"/>
                <w:b/>
                <w:sz w:val="18"/>
              </w:rPr>
              <w:t>Result</w:t>
            </w:r>
          </w:p>
        </w:tc>
        <w:tc>
          <w:tcPr>
            <w:tcW w:type="dxa" w:w="1984"/>
          </w:tcPr>
          <w:p>
            <w:r>
              <w:rPr>
                <w:rFonts w:ascii="Times New Roman" w:hAnsi="Times New Roman"/>
                <w:b/>
                <w:sz w:val="18"/>
              </w:rPr>
              <w:t>Interpretation</w:t>
            </w:r>
          </w:p>
        </w:tc>
        <w:tc>
          <w:tcPr>
            <w:tcW w:type="dxa" w:w="1984"/>
          </w:tcPr>
          <w:p>
            <w:r>
              <w:rPr>
                <w:rFonts w:ascii="Times New Roman" w:hAnsi="Times New Roman"/>
                <w:b/>
                <w:sz w:val="18"/>
              </w:rPr>
              <w:t>Threshold</w:t>
            </w:r>
          </w:p>
        </w:tc>
        <w:tc>
          <w:tcPr>
            <w:tcW w:type="dxa" w:w="1984"/>
          </w:tcPr>
          <w:p>
            <w:r>
              <w:rPr>
                <w:rFonts w:ascii="Times New Roman" w:hAnsi="Times New Roman"/>
                <w:b/>
                <w:sz w:val="18"/>
              </w:rPr>
              <w:t>Status</w:t>
            </w:r>
          </w:p>
        </w:tc>
      </w:tr>
      <w:tr>
        <w:tc>
          <w:tcPr>
            <w:tcW w:type="dxa" w:w="1984"/>
          </w:tcPr>
          <w:p>
            <w:r>
              <w:rPr>
                <w:rFonts w:ascii="Times New Roman" w:hAnsi="Times New Roman"/>
                <w:sz w:val="18"/>
              </w:rPr>
              <w:t>Human-to-Human Agreement</w:t>
            </w:r>
          </w:p>
        </w:tc>
        <w:tc>
          <w:tcPr>
            <w:tcW w:type="dxa" w:w="1984"/>
          </w:tcPr>
          <w:p>
            <w:r>
              <w:rPr>
                <w:rFonts w:ascii="Times New Roman" w:hAnsi="Times New Roman"/>
                <w:sz w:val="18"/>
              </w:rPr>
              <w:t>α = 0.82 (95% CI: 0.76-0.88)</w:t>
            </w:r>
          </w:p>
        </w:tc>
        <w:tc>
          <w:tcPr>
            <w:tcW w:type="dxa" w:w="1984"/>
          </w:tcPr>
          <w:p>
            <w:r>
              <w:rPr>
                <w:rFonts w:ascii="Times New Roman" w:hAnsi="Times New Roman"/>
                <w:sz w:val="18"/>
              </w:rPr>
              <w:t>Strong reliability</w:t>
            </w:r>
          </w:p>
        </w:tc>
        <w:tc>
          <w:tcPr>
            <w:tcW w:type="dxa" w:w="1984"/>
          </w:tcPr>
          <w:p>
            <w:r>
              <w:rPr>
                <w:rFonts w:ascii="Times New Roman" w:hAnsi="Times New Roman"/>
                <w:sz w:val="18"/>
              </w:rPr>
              <w:t>α &gt; 0.80</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AI-to-Human Alignment</w:t>
            </w:r>
          </w:p>
        </w:tc>
        <w:tc>
          <w:tcPr>
            <w:tcW w:type="dxa" w:w="1984"/>
          </w:tcPr>
          <w:p>
            <w:r>
              <w:rPr>
                <w:rFonts w:ascii="Times New Roman" w:hAnsi="Times New Roman"/>
                <w:sz w:val="18"/>
              </w:rPr>
              <w:t>κ = 0.89 (95% CI: 0.84-0.94)</w:t>
            </w:r>
          </w:p>
        </w:tc>
        <w:tc>
          <w:tcPr>
            <w:tcW w:type="dxa" w:w="1984"/>
          </w:tcPr>
          <w:p>
            <w:r>
              <w:rPr>
                <w:rFonts w:ascii="Times New Roman" w:hAnsi="Times New Roman"/>
                <w:sz w:val="18"/>
              </w:rPr>
              <w:t>Excellent agreement</w:t>
            </w:r>
          </w:p>
        </w:tc>
        <w:tc>
          <w:tcPr>
            <w:tcW w:type="dxa" w:w="1984"/>
          </w:tcPr>
          <w:p>
            <w:r>
              <w:rPr>
                <w:rFonts w:ascii="Times New Roman" w:hAnsi="Times New Roman"/>
                <w:sz w:val="18"/>
              </w:rPr>
              <w:t>κ &gt; 0.80</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Detection Accuracy</w:t>
            </w:r>
          </w:p>
        </w:tc>
        <w:tc>
          <w:tcPr>
            <w:tcW w:type="dxa" w:w="1984"/>
          </w:tcPr>
          <w:p>
            <w:r>
              <w:rPr>
                <w:rFonts w:ascii="Times New Roman" w:hAnsi="Times New Roman"/>
                <w:sz w:val="18"/>
              </w:rPr>
              <w:t>κ = 0.92</w:t>
            </w:r>
          </w:p>
        </w:tc>
        <w:tc>
          <w:tcPr>
            <w:tcW w:type="dxa" w:w="1984"/>
          </w:tcPr>
          <w:p>
            <w:r>
              <w:rPr>
                <w:rFonts w:ascii="Times New Roman" w:hAnsi="Times New Roman"/>
                <w:sz w:val="18"/>
              </w:rPr>
              <w:t>Near-perfect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Regulation Effectiveness</w:t>
            </w:r>
          </w:p>
        </w:tc>
        <w:tc>
          <w:tcPr>
            <w:tcW w:type="dxa" w:w="1984"/>
          </w:tcPr>
          <w:p>
            <w:r>
              <w:rPr>
                <w:rFonts w:ascii="Times New Roman" w:hAnsi="Times New Roman"/>
                <w:sz w:val="18"/>
              </w:rPr>
              <w:t>κ = 0.88</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κ = 0.86</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κ = 0.91</w:t>
            </w:r>
          </w:p>
        </w:tc>
        <w:tc>
          <w:tcPr>
            <w:tcW w:type="dxa" w:w="1984"/>
          </w:tcPr>
          <w:p>
            <w:r>
              <w:rPr>
                <w:rFonts w:ascii="Times New Roman" w:hAnsi="Times New Roman"/>
                <w:sz w:val="18"/>
              </w:rPr>
              <w:t>Near-perfect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κ = 0.87</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bl>
    <w:p/>
    <w:p>
      <w:r>
        <w:t>AI-to-human agreement quantified using Cohen's Kappa yielded κ = 0.89 (95% CI: 0.84-0.94)—excellent agreement well exceeding the κ &gt; 0.80 threshold. Consensus human ratings were calculated using majority voting (≥2 experts agreeing = consensus rating). Criterion-specific analysis revealed consistent agreement across all metrics (κ = 0.86-0.92), indicating no metric-specific bias where the evaluator might favor particular evaluation dimensions. This across-the-board agreement demonstrates that Evaluator GPT's assessments align with independent expert judgment and that observed performance differences reflect genuine quality distinctions detectable by human experts, not simply AI-rating-AI favorability bias.</w:t>
      </w:r>
    </w:p>
    <w:p>
      <w:r>
        <w:rPr>
          <w:b/>
        </w:rPr>
        <w:t>Validation Interpretation:</w:t>
      </w:r>
      <w:r>
        <w:t xml:space="preserve"> Three conclusions emerge from the validation protocol:</w:t>
      </w:r>
    </w:p>
    <w:p>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r>
        <w:rPr>
          <w:b/>
        </w:rPr>
        <w:t>Limitations of Validation:</w:t>
      </w:r>
      <w:r>
        <w:t xml:space="preserve"> Important caveats qualify these strong results: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Limitation</w:t>
            </w:r>
          </w:p>
        </w:tc>
        <w:tc>
          <w:tcPr>
            <w:tcW w:type="dxa" w:w="2480"/>
          </w:tcPr>
          <w:p>
            <w:r>
              <w:rPr>
                <w:rFonts w:ascii="Times New Roman" w:hAnsi="Times New Roman"/>
                <w:b/>
                <w:sz w:val="18"/>
              </w:rPr>
              <w:t>Scope</w:t>
            </w:r>
          </w:p>
        </w:tc>
        <w:tc>
          <w:tcPr>
            <w:tcW w:type="dxa" w:w="2480"/>
          </w:tcPr>
          <w:p>
            <w:r>
              <w:rPr>
                <w:rFonts w:ascii="Times New Roman" w:hAnsi="Times New Roman"/>
                <w:b/>
                <w:sz w:val="18"/>
              </w:rPr>
              <w:t>Impact</w:t>
            </w:r>
          </w:p>
        </w:tc>
        <w:tc>
          <w:tcPr>
            <w:tcW w:type="dxa" w:w="2480"/>
          </w:tcPr>
          <w:p>
            <w:r>
              <w:rPr>
                <w:rFonts w:ascii="Times New Roman" w:hAnsi="Times New Roman"/>
                <w:b/>
                <w:sz w:val="18"/>
              </w:rPr>
              <w:t>Mitigation</w:t>
            </w:r>
          </w:p>
        </w:tc>
      </w:tr>
      <w:tr>
        <w:tc>
          <w:tcPr>
            <w:tcW w:type="dxa" w:w="2480"/>
          </w:tcPr>
          <w:p>
            <w:r>
              <w:rPr>
                <w:rFonts w:ascii="Times New Roman" w:hAnsi="Times New Roman"/>
                <w:sz w:val="18"/>
              </w:rPr>
              <w:t>Partial Sample Coverage (25%)</w:t>
            </w:r>
          </w:p>
        </w:tc>
        <w:tc>
          <w:tcPr>
            <w:tcW w:type="dxa" w:w="2480"/>
          </w:tcPr>
          <w:p>
            <w:r>
              <w:rPr>
                <w:rFonts w:ascii="Times New Roman" w:hAnsi="Times New Roman"/>
                <w:sz w:val="18"/>
              </w:rPr>
              <w:t>90 turns unverified</w:t>
            </w:r>
          </w:p>
        </w:tc>
        <w:tc>
          <w:tcPr>
            <w:tcW w:type="dxa" w:w="2480"/>
          </w:tcPr>
          <w:p>
            <w:r>
              <w:rPr>
                <w:rFonts w:ascii="Times New Roman" w:hAnsi="Times New Roman"/>
                <w:sz w:val="18"/>
              </w:rPr>
              <w:t>Potential unmapped biases in 75% of data</w:t>
            </w:r>
          </w:p>
        </w:tc>
        <w:tc>
          <w:tcPr>
            <w:tcW w:type="dxa" w:w="2480"/>
          </w:tcPr>
          <w:p>
            <w:r>
              <w:rPr>
                <w:rFonts w:ascii="Times New Roman" w:hAnsi="Times New Roman"/>
                <w:sz w:val="18"/>
              </w:rPr>
              <w:t>Stratified sampling reduces systematic bias risk; validation extends to all evaluation dimensions</w:t>
            </w:r>
          </w:p>
        </w:tc>
      </w:tr>
      <w:tr>
        <w:tc>
          <w:tcPr>
            <w:tcW w:type="dxa" w:w="2480"/>
          </w:tcPr>
          <w:p>
            <w:r>
              <w:rPr>
                <w:rFonts w:ascii="Times New Roman" w:hAnsi="Times New Roman"/>
                <w:sz w:val="18"/>
              </w:rPr>
              <w:t>Shared Foundation Model</w:t>
            </w:r>
          </w:p>
        </w:tc>
        <w:tc>
          <w:tcPr>
            <w:tcW w:type="dxa" w:w="2480"/>
          </w:tcPr>
          <w:p>
            <w:r>
              <w:rPr>
                <w:rFonts w:ascii="Times New Roman" w:hAnsi="Times New Roman"/>
                <w:sz w:val="18"/>
              </w:rPr>
              <w:t>Both use GPT-4</w:t>
            </w:r>
          </w:p>
        </w:tc>
        <w:tc>
          <w:tcPr>
            <w:tcW w:type="dxa" w:w="2480"/>
          </w:tcPr>
          <w:p>
            <w:r>
              <w:rPr>
                <w:rFonts w:ascii="Times New Roman" w:hAnsi="Times New Roman"/>
                <w:sz w:val="18"/>
              </w:rPr>
              <w:t>Possible inflated agreement from semantic similarity</w:t>
            </w:r>
          </w:p>
        </w:tc>
        <w:tc>
          <w:tcPr>
            <w:tcW w:type="dxa" w:w="2480"/>
          </w:tcPr>
          <w:p>
            <w:r>
              <w:rPr>
                <w:rFonts w:ascii="Times New Roman" w:hAnsi="Times New Roman"/>
                <w:sz w:val="18"/>
              </w:rPr>
              <w:t>Human validation confirms genuine differences; criterion-specific analysis shows no bias pattern</w:t>
            </w:r>
          </w:p>
        </w:tc>
      </w:tr>
      <w:tr>
        <w:tc>
          <w:tcPr>
            <w:tcW w:type="dxa" w:w="2480"/>
          </w:tcPr>
          <w:p>
            <w:r>
              <w:rPr>
                <w:rFonts w:ascii="Times New Roman" w:hAnsi="Times New Roman"/>
                <w:sz w:val="18"/>
              </w:rPr>
              <w:t>Simulated Context Only</w:t>
            </w:r>
          </w:p>
        </w:tc>
        <w:tc>
          <w:tcPr>
            <w:tcW w:type="dxa" w:w="2480"/>
          </w:tcPr>
          <w:p>
            <w:r>
              <w:rPr>
                <w:rFonts w:ascii="Times New Roman" w:hAnsi="Times New Roman"/>
                <w:sz w:val="18"/>
              </w:rPr>
              <w:t>No spontaneous real-world dialogue</w:t>
            </w:r>
          </w:p>
        </w:tc>
        <w:tc>
          <w:tcPr>
            <w:tcW w:type="dxa" w:w="2480"/>
          </w:tcPr>
          <w:p>
            <w:r>
              <w:rPr>
                <w:rFonts w:ascii="Times New Roman" w:hAnsi="Times New Roman"/>
                <w:sz w:val="18"/>
              </w:rPr>
              <w:t>Validation sample may not represent authentic user interactions</w:t>
            </w:r>
          </w:p>
        </w:tc>
        <w:tc>
          <w:tcPr>
            <w:tcW w:type="dxa" w:w="2480"/>
          </w:tcPr>
          <w:p>
            <w:r>
              <w:rPr>
                <w:rFonts w:ascii="Times New Roman" w:hAnsi="Times New Roman"/>
                <w:sz w:val="18"/>
              </w:rPr>
              <w:t>Proof-of-concept design justified for early-stage research; future work extends to human subjects</w:t>
            </w:r>
          </w:p>
        </w:tc>
      </w:tr>
    </w:tbl>
    <w:p/>
    <w:p>
      <w:r>
        <w:rPr>
          <w:b/>
        </w:rPr>
        <w:t>Decision Rationale:</w:t>
      </w:r>
      <w:r>
        <w:t xml:space="preserve"> 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p>
      <w:pPr>
        <w:pStyle w:val="Heading3"/>
      </w:pPr>
      <w:r>
        <w:t>Study Design Diagram</w:t>
      </w:r>
    </w:p>
    <w:p>
      <w:r>
        <w:rPr>
          <w:rFonts w:ascii="Courier New" w:hAnsi="Courier New"/>
          <w:sz w:val="20"/>
        </w:rPr>
      </w:r>
      <w:r>
        <w:rPr>
          <w:rFonts w:ascii="Courier New" w:hAnsi="Courier New"/>
          <w:sz w:val="20"/>
        </w:rPr>
      </w:r>
    </w:p>
    <w:p>
      <w:r>
        <w:t>┌──────────────────────────┐</w:t>
      </w:r>
    </w:p>
    <w:p>
      <w:r>
        <w:t>│   20 Agent Instances     │</w:t>
      </w:r>
    </w:p>
    <w:p>
      <w:r>
        <w:t>│   (10 per personality)   │</w:t>
      </w:r>
    </w:p>
    <w:p>
      <w:r>
        <w:t>└────────────┬─────────────┘</w:t>
      </w:r>
    </w:p>
    <w:p>
      <w:r>
        <w:t>│</w:t>
      </w:r>
    </w:p>
    <w:p>
      <w:r>
        <w:t>┌────────┴────────┐</w:t>
      </w:r>
    </w:p>
    <w:p>
      <w:r>
        <w:t>│                 │</w:t>
      </w:r>
    </w:p>
    <w:p>
      <w:r>
        <w:t>┌────▼───┐        ┌───▼────┐</w:t>
      </w:r>
    </w:p>
    <w:p>
      <w:r>
        <w:t>│ Type A  │        │ Type B  │</w:t>
      </w:r>
    </w:p>
    <w:p>
      <w:r>
        <w:t>│ (5 R:5 B)        │ (5 R:5 B)</w:t>
      </w:r>
    </w:p>
    <w:p>
      <w:r>
        <w:t>└────┬───┘        └───┬────┘</w:t>
      </w:r>
    </w:p>
    <w:p>
      <w:r>
        <w:t>│                 │</w:t>
      </w:r>
    </w:p>
    <w:p>
      <w:r>
        <w:t>┌───┴─────────────────┴──┐</w:t>
      </w:r>
    </w:p>
    <w:p>
      <w:r>
        <w:t>│  120 Total Dialogues   │</w:t>
      </w:r>
    </w:p>
    <w:p>
      <w:r>
        <w:t>│  (6 turns each)        │</w:t>
      </w:r>
    </w:p>
    <w:p>
      <w:r>
        <w:t>└───┬──────────────────┬─┘</w:t>
      </w:r>
    </w:p>
    <w:p>
      <w:r>
        <w:t>│                  │</w:t>
      </w:r>
    </w:p>
    <w:p>
      <w:r>
        <w:t>┌────▼──┐         ┌─────▼────┐</w:t>
      </w:r>
    </w:p>
    <w:p>
      <w:r>
        <w:t>│ AI    │         │  Human   │</w:t>
      </w:r>
    </w:p>
    <w:p>
      <w:r>
        <w:t>│ Eval  │         │  Experts │</w:t>
      </w:r>
    </w:p>
    <w:p>
      <w:r>
        <w:t>│(120)  │         │ (30 @25%)│</w:t>
      </w:r>
    </w:p>
    <w:p>
      <w:r>
        <w:t>└────┬──┘         └─────┬────┘</w:t>
      </w:r>
    </w:p>
    <w:p>
      <w:r>
        <w:t>│                  │</w:t>
      </w:r>
    </w:p>
    <w:p>
      <w:r>
        <w:t>┌───┴──────────────────┴──┐</w:t>
      </w:r>
    </w:p>
    <w:p>
      <w:r>
        <w:t>│  Reliability Analysis    │</w:t>
      </w:r>
    </w:p>
    <w:p>
      <w:r>
        <w:t>│  α=0.82, κ=0.89         │</w:t>
      </w:r>
    </w:p>
    <w:p>
      <w:r>
        <w:t>│  All metrics excellent  │</w:t>
      </w:r>
    </w:p>
    <w:p>
      <w:r>
        <w:t>└────────────────────────┘</w:t>
      </w:r>
    </w:p>
    <w:p>
      <w:r>
        <w:rPr>
          <w:rFonts w:ascii="Courier New" w:hAnsi="Courier New"/>
          <w:sz w:val="20"/>
        </w:rPr>
      </w:r>
      <w:r>
        <w:rPr>
          <w:rFonts w:ascii="Courier New" w:hAnsi="Courier New"/>
          <w:sz w:val="20"/>
        </w:rPr>
      </w:r>
    </w:p>
    <w:p>
      <w:pPr>
        <w:pStyle w:val="Heading3"/>
      </w:pPr>
      <w:r>
        <w:t>Conclusion of Experimental Protocol</w:t>
      </w:r>
    </w:p>
    <w:p>
      <w:r>
        <w:t>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Results</w:t>
      </w:r>
    </w:p>
    <w:p>
      <w:pPr>
        <w:pStyle w:val="Heading2"/>
      </w:pPr>
      <w:r>
        <w:t>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jc w:val="center"/>
      </w:pPr>
      <w:r>
        <w:drawing>
          <wp:inline xmlns:a="http://schemas.openxmlformats.org/drawingml/2006/main" xmlns:pic="http://schemas.openxmlformats.org/drawingml/2006/picture">
            <wp:extent cx="5486400" cy="1925376"/>
            <wp:docPr id="1" name="Picture 1"/>
            <wp:cNvGraphicFramePr>
              <a:graphicFrameLocks noChangeAspect="1"/>
            </wp:cNvGraphicFramePr>
            <a:graphic>
              <a:graphicData uri="http://schemas.openxmlformats.org/drawingml/2006/picture">
                <pic:pic>
                  <pic:nvPicPr>
                    <pic:cNvPr id="0" name="01_sample_distribution.png"/>
                    <pic:cNvPicPr/>
                  </pic:nvPicPr>
                  <pic:blipFill>
                    <a:blip r:embed="rId9"/>
                    <a:stretch>
                      <a:fillRect/>
                    </a:stretch>
                  </pic:blipFill>
                  <pic:spPr>
                    <a:xfrm>
                      <a:off x="0" y="0"/>
                      <a:ext cx="5486400" cy="1925376"/>
                    </a:xfrm>
                    <a:prstGeom prst="rect"/>
                  </pic:spPr>
                </pic:pic>
              </a:graphicData>
            </a:graphic>
          </wp:inline>
        </w:drawing>
      </w:r>
    </w:p>
    <w:p>
      <w:r>
        <w:t>Data quality assessment revealed minimal missing data (&lt;2%) across all evaluation metrics, with no systematic patterns of missingness by condition or personality type (Figure 2).</w:t>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jc w:val="center"/>
      </w:pPr>
      <w:r>
        <w:drawing>
          <wp:inline xmlns:a="http://schemas.openxmlformats.org/drawingml/2006/main" xmlns:pic="http://schemas.openxmlformats.org/drawingml/2006/picture">
            <wp:extent cx="5486400" cy="2349984"/>
            <wp:docPr id="2" name="Picture 2"/>
            <wp:cNvGraphicFramePr>
              <a:graphicFrameLocks noChangeAspect="1"/>
            </wp:cNvGraphicFramePr>
            <a:graphic>
              <a:graphicData uri="http://schemas.openxmlformats.org/drawingml/2006/picture">
                <pic:pic>
                  <pic:nvPicPr>
                    <pic:cNvPr id="0" name="02_missing_data_heatmap.png"/>
                    <pic:cNvPicPr/>
                  </pic:nvPicPr>
                  <pic:blipFill>
                    <a:blip r:embed="rId10"/>
                    <a:stretch>
                      <a:fillRect/>
                    </a:stretch>
                  </pic:blipFill>
                  <pic:spPr>
                    <a:xfrm>
                      <a:off x="0" y="0"/>
                      <a:ext cx="5486400" cy="2349984"/>
                    </a:xfrm>
                    <a:prstGeom prst="rect"/>
                  </pic:spPr>
                </pic:pic>
              </a:graphicData>
            </a:graphic>
          </wp:inline>
        </w:drawing>
      </w:r>
    </w:p>
    <w:p>
      <w:pPr>
        <w:pStyle w:val="Heading2"/>
      </w:pPr>
      <w:r>
        <w:t>Detection and Regulation Performance</w:t>
      </w:r>
    </w:p>
    <w:p>
      <w:r>
        <w:t>Regulated agents achieved near-perfect performance on the core technical requirements of personality detection and regulation implementation.</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n (Total)</w:t>
            </w:r>
          </w:p>
        </w:tc>
        <w:tc>
          <w:tcPr>
            <w:tcW w:type="dxa" w:w="2480"/>
          </w:tcPr>
          <w:p>
            <w:r>
              <w:rPr>
                <w:rFonts w:ascii="Times New Roman" w:hAnsi="Times New Roman"/>
                <w:b/>
                <w:sz w:val="18"/>
              </w:rPr>
              <w:t>95% CI</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100.00%</w:t>
            </w:r>
          </w:p>
        </w:tc>
        <w:tc>
          <w:tcPr>
            <w:tcW w:type="dxa" w:w="2480"/>
          </w:tcPr>
          <w:p>
            <w:r>
              <w:rPr>
                <w:rFonts w:ascii="Times New Roman" w:hAnsi="Times New Roman"/>
                <w:sz w:val="18"/>
              </w:rPr>
              <w:t>58/58</w:t>
            </w:r>
          </w:p>
        </w:tc>
        <w:tc>
          <w:tcPr>
            <w:tcW w:type="dxa" w:w="2480"/>
          </w:tcPr>
          <w:p>
            <w:r>
              <w:rPr>
                <w:rFonts w:ascii="Times New Roman" w:hAnsi="Times New Roman"/>
                <w:sz w:val="18"/>
              </w:rPr>
              <w:t>[93.8%, 100%]</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100.00%</w:t>
            </w:r>
          </w:p>
        </w:tc>
        <w:tc>
          <w:tcPr>
            <w:tcW w:type="dxa" w:w="2480"/>
          </w:tcPr>
          <w:p>
            <w:r>
              <w:rPr>
                <w:rFonts w:ascii="Times New Roman" w:hAnsi="Times New Roman"/>
                <w:sz w:val="18"/>
              </w:rPr>
              <w:t>59/59</w:t>
            </w:r>
          </w:p>
        </w:tc>
        <w:tc>
          <w:tcPr>
            <w:tcW w:type="dxa" w:w="2480"/>
          </w:tcPr>
          <w:p>
            <w:r>
              <w:rPr>
                <w:rFonts w:ascii="Times New Roman" w:hAnsi="Times New Roman"/>
                <w:sz w:val="18"/>
              </w:rPr>
              <w:t>[93.9%, 100%]</w:t>
            </w:r>
          </w:p>
        </w:tc>
      </w:tr>
    </w:tbl>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Heading2"/>
      </w:pPr>
      <w:r>
        <w:t>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tbl>
      <w:tblPr>
        <w:tblStyle w:val="LightGrid-Accent1"/>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b/>
                <w:sz w:val="18"/>
              </w:rPr>
              <w:t>Metric</w:t>
            </w:r>
          </w:p>
        </w:tc>
        <w:tc>
          <w:tcPr>
            <w:tcW w:type="dxa" w:w="1240"/>
          </w:tcPr>
          <w:p>
            <w:r>
              <w:rPr>
                <w:rFonts w:ascii="Times New Roman" w:hAnsi="Times New Roman"/>
                <w:b/>
                <w:sz w:val="18"/>
              </w:rPr>
              <w:t>Condition</w:t>
            </w:r>
          </w:p>
        </w:tc>
        <w:tc>
          <w:tcPr>
            <w:tcW w:type="dxa" w:w="1240"/>
          </w:tcPr>
          <w:p>
            <w:r>
              <w:rPr>
                <w:rFonts w:ascii="Times New Roman" w:hAnsi="Times New Roman"/>
                <w:b/>
                <w:sz w:val="18"/>
              </w:rPr>
              <w:t>M (SD)</w:t>
            </w:r>
          </w:p>
        </w:tc>
        <w:tc>
          <w:tcPr>
            <w:tcW w:type="dxa" w:w="1240"/>
          </w:tcPr>
          <w:p>
            <w:r>
              <w:rPr>
                <w:rFonts w:ascii="Times New Roman" w:hAnsi="Times New Roman"/>
                <w:b/>
                <w:sz w:val="18"/>
              </w:rPr>
              <w:t>n</w:t>
            </w:r>
          </w:p>
        </w:tc>
        <w:tc>
          <w:tcPr>
            <w:tcW w:type="dxa" w:w="1240"/>
          </w:tcPr>
          <w:p>
            <w:r>
              <w:rPr>
                <w:rFonts w:ascii="Times New Roman" w:hAnsi="Times New Roman"/>
                <w:b/>
                <w:sz w:val="18"/>
              </w:rPr>
              <w:t>t-statistic</w:t>
            </w:r>
          </w:p>
        </w:tc>
        <w:tc>
          <w:tcPr>
            <w:tcW w:type="dxa" w:w="1240"/>
          </w:tcPr>
          <w:p>
            <w:r>
              <w:rPr>
                <w:rFonts w:ascii="Times New Roman" w:hAnsi="Times New Roman"/>
                <w:b/>
                <w:sz w:val="18"/>
              </w:rPr>
              <w:t>p-value</w:t>
            </w:r>
          </w:p>
        </w:tc>
        <w:tc>
          <w:tcPr>
            <w:tcW w:type="dxa" w:w="1240"/>
          </w:tcPr>
          <w:p>
            <w:r>
              <w:rPr>
                <w:rFonts w:ascii="Times New Roman" w:hAnsi="Times New Roman"/>
                <w:b/>
                <w:sz w:val="18"/>
              </w:rPr>
              <w:t>Cohen's d</w:t>
            </w:r>
          </w:p>
        </w:tc>
        <w:tc>
          <w:tcPr>
            <w:tcW w:type="dxa" w:w="1240"/>
          </w:tcPr>
          <w:p>
            <w:r>
              <w:rPr>
                <w:rFonts w:ascii="Times New Roman" w:hAnsi="Times New Roman"/>
                <w:b/>
                <w:sz w:val="18"/>
              </w:rPr>
              <w:t>95% CI for d</w:t>
            </w:r>
          </w:p>
        </w:tc>
      </w:tr>
      <w:tr>
        <w:tc>
          <w:tcPr>
            <w:tcW w:type="dxa" w:w="1240"/>
          </w:tcPr>
          <w:p>
            <w:r>
              <w:rPr>
                <w:rFonts w:ascii="Times New Roman" w:hAnsi="Times New Roman"/>
                <w:sz w:val="18"/>
              </w:rPr>
              <w:t>Emotional Tone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1.00</w:t>
            </w:r>
          </w:p>
        </w:tc>
        <w:tc>
          <w:tcPr>
            <w:tcW w:type="dxa" w:w="1240"/>
          </w:tcPr>
          <w:p>
            <w:r>
              <w:rPr>
                <w:rFonts w:ascii="Times New Roman" w:hAnsi="Times New Roman"/>
                <w:sz w:val="18"/>
              </w:rPr>
              <w:t>0.320 (ns)</w:t>
            </w:r>
          </w:p>
        </w:tc>
        <w:tc>
          <w:tcPr>
            <w:tcW w:type="dxa" w:w="1240"/>
          </w:tcPr>
          <w:p>
            <w:r>
              <w:rPr>
                <w:rFonts w:ascii="Times New Roman" w:hAnsi="Times New Roman"/>
                <w:sz w:val="18"/>
              </w:rPr>
              <w:t>0.18</w:t>
            </w:r>
          </w:p>
        </w:tc>
        <w:tc>
          <w:tcPr>
            <w:tcW w:type="dxa" w:w="1240"/>
          </w:tcPr>
          <w:p>
            <w:r>
              <w:rPr>
                <w:rFonts w:ascii="Times New Roman" w:hAnsi="Times New Roman"/>
                <w:sz w:val="18"/>
              </w:rPr>
              <w:t>[-0.18, 0.55]</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2.00 (0.00)</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Relevance &amp; Coherence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1.42</w:t>
            </w:r>
          </w:p>
        </w:tc>
        <w:tc>
          <w:tcPr>
            <w:tcW w:type="dxa" w:w="1240"/>
          </w:tcPr>
          <w:p>
            <w:r>
              <w:rPr>
                <w:rFonts w:ascii="Times New Roman" w:hAnsi="Times New Roman"/>
                <w:sz w:val="18"/>
              </w:rPr>
              <w:t>0.158 (ns)</w:t>
            </w:r>
          </w:p>
        </w:tc>
        <w:tc>
          <w:tcPr>
            <w:tcW w:type="dxa" w:w="1240"/>
          </w:tcPr>
          <w:p>
            <w:r>
              <w:rPr>
                <w:rFonts w:ascii="Times New Roman" w:hAnsi="Times New Roman"/>
                <w:sz w:val="18"/>
              </w:rPr>
              <w:t>0.26</w:t>
            </w:r>
          </w:p>
        </w:tc>
        <w:tc>
          <w:tcPr>
            <w:tcW w:type="dxa" w:w="1240"/>
          </w:tcPr>
          <w:p>
            <w:r>
              <w:rPr>
                <w:rFonts w:ascii="Times New Roman" w:hAnsi="Times New Roman"/>
                <w:sz w:val="18"/>
              </w:rPr>
              <w:t>[-0.10, 0.62]</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1.97 (0.18)</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Personality Needs</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29.87</w:t>
            </w:r>
          </w:p>
        </w:tc>
        <w:tc>
          <w:tcPr>
            <w:tcW w:type="dxa" w:w="1240"/>
          </w:tcPr>
          <w:p>
            <w:r>
              <w:rPr>
                <w:rFonts w:ascii="Times New Roman" w:hAnsi="Times New Roman"/>
                <w:sz w:val="18"/>
              </w:rPr>
              <w:t>&lt; 0.001*</w:t>
            </w:r>
          </w:p>
        </w:tc>
        <w:tc>
          <w:tcPr>
            <w:tcW w:type="dxa" w:w="1240"/>
          </w:tcPr>
          <w:p>
            <w:r>
              <w:rPr>
                <w:rFonts w:ascii="Times New Roman" w:hAnsi="Times New Roman"/>
                <w:sz w:val="18"/>
              </w:rPr>
              <w:t>4.58</w:t>
            </w:r>
          </w:p>
        </w:tc>
        <w:tc>
          <w:tcPr>
            <w:tcW w:type="dxa" w:w="1240"/>
          </w:tcPr>
          <w:p>
            <w:r>
              <w:rPr>
                <w:rFonts w:ascii="Times New Roman" w:hAnsi="Times New Roman"/>
                <w:sz w:val="18"/>
              </w:rPr>
              <w:t>[3.88, 5.27]</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0.17 (0.42)</w:t>
            </w:r>
          </w:p>
        </w:tc>
        <w:tc>
          <w:tcPr>
            <w:tcW w:type="dxa" w:w="1240"/>
          </w:tcPr>
          <w:p>
            <w:r>
              <w:rPr>
                <w:rFonts w:ascii="Times New Roman" w:hAnsi="Times New Roman"/>
                <w:sz w:val="18"/>
              </w:rPr>
              <w:t>58</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bl>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Personality Vector Analysis</w:t>
      </w:r>
    </w:p>
    <w:p>
      <w:r>
        <w:t>Analysis of detected personality vectors revealed consistent trait patterns across dialogue turns. Figure 3 visualizes the distribution of OCEAN trait values for regulated interactions.</w:t>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jc w:val="center"/>
      </w:pPr>
      <w:r>
        <w:drawing>
          <wp:inline xmlns:a="http://schemas.openxmlformats.org/drawingml/2006/main" xmlns:pic="http://schemas.openxmlformats.org/drawingml/2006/picture">
            <wp:extent cx="5486400" cy="3769676"/>
            <wp:docPr id="3" name="Picture 3"/>
            <wp:cNvGraphicFramePr>
              <a:graphicFrameLocks noChangeAspect="1"/>
            </wp:cNvGraphicFramePr>
            <a:graphic>
              <a:graphicData uri="http://schemas.openxmlformats.org/drawingml/2006/picture">
                <pic:pic>
                  <pic:nvPicPr>
                    <pic:cNvPr id="0" name="06_personality_dimensions.png"/>
                    <pic:cNvPicPr/>
                  </pic:nvPicPr>
                  <pic:blipFill>
                    <a:blip r:embed="rId11"/>
                    <a:stretch>
                      <a:fillRect/>
                    </a:stretch>
                  </pic:blipFill>
                  <pic:spPr>
                    <a:xfrm>
                      <a:off x="0" y="0"/>
                      <a:ext cx="5486400" cy="3769676"/>
                    </a:xfrm>
                    <a:prstGeom prst="rect"/>
                  </pic:spPr>
                </pic:pic>
              </a:graphicData>
            </a:graphic>
          </wp:inline>
        </w:drawing>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jc w:val="center"/>
      </w:pPr>
      <w:r>
        <w:drawing>
          <wp:inline xmlns:a="http://schemas.openxmlformats.org/drawingml/2006/main" xmlns:pic="http://schemas.openxmlformats.org/drawingml/2006/picture">
            <wp:extent cx="5486400" cy="4673015"/>
            <wp:docPr id="4" name="Picture 4"/>
            <wp:cNvGraphicFramePr>
              <a:graphicFrameLocks noChangeAspect="1"/>
            </wp:cNvGraphicFramePr>
            <a:graphic>
              <a:graphicData uri="http://schemas.openxmlformats.org/drawingml/2006/picture">
                <pic:pic>
                  <pic:nvPicPr>
                    <pic:cNvPr id="0" name="07_personality_heatmap.png"/>
                    <pic:cNvPicPr/>
                  </pic:nvPicPr>
                  <pic:blipFill>
                    <a:blip r:embed="rId12"/>
                    <a:stretch>
                      <a:fillRect/>
                    </a:stretch>
                  </pic:blipFill>
                  <pic:spPr>
                    <a:xfrm>
                      <a:off x="0" y="0"/>
                      <a:ext cx="5486400" cy="4673015"/>
                    </a:xfrm>
                    <a:prstGeom prst="rect"/>
                  </pic:spPr>
                </pic:pic>
              </a:graphicData>
            </a:graphic>
          </wp:inline>
        </w:drawing>
      </w:r>
    </w:p>
    <w:p>
      <w:pPr>
        <w:pStyle w:val="Heading2"/>
      </w:pPr>
      <w:r>
        <w:t>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jc w:val="center"/>
      </w:pPr>
      <w:r>
        <w:drawing>
          <wp:inline xmlns:a="http://schemas.openxmlformats.org/drawingml/2006/main" xmlns:pic="http://schemas.openxmlformats.org/drawingml/2006/picture">
            <wp:extent cx="5486400" cy="2700121"/>
            <wp:docPr id="5" name="Picture 5"/>
            <wp:cNvGraphicFramePr>
              <a:graphicFrameLocks noChangeAspect="1"/>
            </wp:cNvGraphicFramePr>
            <a:graphic>
              <a:graphicData uri="http://schemas.openxmlformats.org/drawingml/2006/picture">
                <pic:pic>
                  <pic:nvPicPr>
                    <pic:cNvPr id="0" name="03_performance_comparison.png"/>
                    <pic:cNvPicPr/>
                  </pic:nvPicPr>
                  <pic:blipFill>
                    <a:blip r:embed="rId13"/>
                    <a:stretch>
                      <a:fillRect/>
                    </a:stretch>
                  </pic:blipFill>
                  <pic:spPr>
                    <a:xfrm>
                      <a:off x="0" y="0"/>
                      <a:ext cx="5486400" cy="2700121"/>
                    </a:xfrm>
                    <a:prstGeom prst="rect"/>
                  </pic:spPr>
                </pic:pic>
              </a:graphicData>
            </a:graphic>
          </wp:inline>
        </w:drawing>
      </w:r>
    </w:p>
    <w:p>
      <w:pPr>
        <w:pStyle w:val="Heading2"/>
      </w:pPr>
      <w:r>
        <w:t>Effect Size Analysis</w:t>
      </w:r>
    </w:p>
    <w:p>
      <w:r>
        <w:t>Figure 6 visualizes the effect sizes (Cohen's d) for each evaluation metric, highlighting the magnitude of performance differences.</w:t>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jc w:val="center"/>
      </w:pPr>
      <w:r>
        <w:drawing>
          <wp:inline xmlns:a="http://schemas.openxmlformats.org/drawingml/2006/main" xmlns:pic="http://schemas.openxmlformats.org/drawingml/2006/picture">
            <wp:extent cx="5486400" cy="3262633"/>
            <wp:docPr id="6" name="Picture 6"/>
            <wp:cNvGraphicFramePr>
              <a:graphicFrameLocks noChangeAspect="1"/>
            </wp:cNvGraphicFramePr>
            <a:graphic>
              <a:graphicData uri="http://schemas.openxmlformats.org/drawingml/2006/picture">
                <pic:pic>
                  <pic:nvPicPr>
                    <pic:cNvPr id="0" name="04_effect_sizes.png"/>
                    <pic:cNvPicPr/>
                  </pic:nvPicPr>
                  <pic:blipFill>
                    <a:blip r:embed="rId14"/>
                    <a:stretch>
                      <a:fillRect/>
                    </a:stretch>
                  </pic:blipFill>
                  <pic:spPr>
                    <a:xfrm>
                      <a:off x="0" y="0"/>
                      <a:ext cx="5486400" cy="3262633"/>
                    </a:xfrm>
                    <a:prstGeom prst="rect"/>
                  </pic:spPr>
                </pic:pic>
              </a:graphicData>
            </a:graphic>
          </wp:inline>
        </w:drawing>
      </w:r>
    </w:p>
    <w:p>
      <w:r>
        <w:t>Figure 7 presents the percentage improvement across metrics, providing an alternative visualization of the selective enhancement pattern.</w:t>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jc w:val="center"/>
      </w:pPr>
      <w:r>
        <w:drawing>
          <wp:inline xmlns:a="http://schemas.openxmlformats.org/drawingml/2006/main" xmlns:pic="http://schemas.openxmlformats.org/drawingml/2006/picture">
            <wp:extent cx="5486400" cy="3253863"/>
            <wp:docPr id="7" name="Picture 7"/>
            <wp:cNvGraphicFramePr>
              <a:graphicFrameLocks noChangeAspect="1"/>
            </wp:cNvGraphicFramePr>
            <a:graphic>
              <a:graphicData uri="http://schemas.openxmlformats.org/drawingml/2006/picture">
                <pic:pic>
                  <pic:nvPicPr>
                    <pic:cNvPr id="0" name="05_percentage_improvement.png"/>
                    <pic:cNvPicPr/>
                  </pic:nvPicPr>
                  <pic:blipFill>
                    <a:blip r:embed="rId15"/>
                    <a:stretch>
                      <a:fillRect/>
                    </a:stretch>
                  </pic:blipFill>
                  <pic:spPr>
                    <a:xfrm>
                      <a:off x="0" y="0"/>
                      <a:ext cx="5486400" cy="3253863"/>
                    </a:xfrm>
                    <a:prstGeom prst="rect"/>
                  </pic:spPr>
                </pic:pic>
              </a:graphicData>
            </a:graphic>
          </wp:inline>
        </w:drawing>
      </w:r>
    </w:p>
    <w:p>
      <w:pPr>
        <w:pStyle w:val="Heading2"/>
      </w:pPr>
      <w:r>
        <w:t>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jc w:val="center"/>
      </w:pPr>
      <w:r>
        <w:drawing>
          <wp:inline xmlns:a="http://schemas.openxmlformats.org/drawingml/2006/main" xmlns:pic="http://schemas.openxmlformats.org/drawingml/2006/picture">
            <wp:extent cx="5486400" cy="3182327"/>
            <wp:docPr id="8" name="Picture 8"/>
            <wp:cNvGraphicFramePr>
              <a:graphicFrameLocks noChangeAspect="1"/>
            </wp:cNvGraphicFramePr>
            <a:graphic>
              <a:graphicData uri="http://schemas.openxmlformats.org/drawingml/2006/picture">
                <pic:pic>
                  <pic:nvPicPr>
                    <pic:cNvPr id="0" name="08_weighted_scores.png"/>
                    <pic:cNvPicPr/>
                  </pic:nvPicPr>
                  <pic:blipFill>
                    <a:blip r:embed="rId16"/>
                    <a:stretch>
                      <a:fillRect/>
                    </a:stretch>
                  </pic:blipFill>
                  <pic:spPr>
                    <a:xfrm>
                      <a:off x="0" y="0"/>
                      <a:ext cx="5486400" cy="3182327"/>
                    </a:xfrm>
                    <a:prstGeom prst="rect"/>
                  </pic:spPr>
                </pic:pic>
              </a:graphicData>
            </a:graphic>
          </wp:inline>
        </w:drawing>
      </w:r>
    </w:p>
    <w:p>
      <w:r>
        <w:t>Figure 9 provides a complementary visualization focusing on the total quality scores.</w:t>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jc w:val="center"/>
      </w:pPr>
      <w:r>
        <w:drawing>
          <wp:inline xmlns:a="http://schemas.openxmlformats.org/drawingml/2006/main" xmlns:pic="http://schemas.openxmlformats.org/drawingml/2006/picture">
            <wp:extent cx="5486400" cy="3267431"/>
            <wp:docPr id="9" name="Picture 9"/>
            <wp:cNvGraphicFramePr>
              <a:graphicFrameLocks noChangeAspect="1"/>
            </wp:cNvGraphicFramePr>
            <a:graphic>
              <a:graphicData uri="http://schemas.openxmlformats.org/drawingml/2006/picture">
                <pic:pic>
                  <pic:nvPicPr>
                    <pic:cNvPr id="0" name="09_total_score_boxplot.png"/>
                    <pic:cNvPicPr/>
                  </pic:nvPicPr>
                  <pic:blipFill>
                    <a:blip r:embed="rId17"/>
                    <a:stretch>
                      <a:fillRect/>
                    </a:stretch>
                  </pic:blipFill>
                  <pic:spPr>
                    <a:xfrm>
                      <a:off x="0" y="0"/>
                      <a:ext cx="5486400" cy="3267431"/>
                    </a:xfrm>
                    <a:prstGeom prst="rect"/>
                  </pic:spPr>
                </pic:pic>
              </a:graphicData>
            </a:graphic>
          </wp:inline>
        </w:drawing>
      </w:r>
    </w:p>
    <w:p>
      <w:pPr>
        <w:pStyle w:val="Heading2"/>
      </w:pPr>
      <w:r>
        <w:t>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Discussion</w:t>
      </w:r>
    </w:p>
    <w:p>
      <w:pPr>
        <w:pStyle w:val="Heading2"/>
      </w:pPr>
      <w:r>
        <w:t>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r>
        <w:t xml:space="preserve">1. </w:t>
      </w:r>
      <w:r>
        <w:rPr>
          <w:b/>
        </w:rPr>
        <w:t>Successful implementation of real-time personality detection</w:t>
      </w:r>
      <w:r>
        <w:t xml:space="preserve"> with 100% accuracy for extreme profiles and validated AI evaluation (κ = 0.89 agreement with human experts)</w:t>
      </w:r>
    </w:p>
    <w:p>
      <w:r>
        <w:t xml:space="preserve">2. </w:t>
      </w:r>
      <w:r>
        <w:rPr>
          <w:b/>
        </w:rPr>
        <w:t>Effective translation of personality traits into behavioral modifications</w:t>
      </w:r>
      <w:r>
        <w:t xml:space="preserve"> through Zurich Model integration, producing measurably different conversational approaches</w:t>
      </w:r>
    </w:p>
    <w:p>
      <w:r>
        <w:t xml:space="preserve">3. </w:t>
      </w:r>
      <w:r>
        <w:rPr>
          <w:b/>
        </w:rPr>
        <w:t>Selective enhancement pattern</w:t>
      </w:r>
      <w:r>
        <w:t xml:space="preserve"> where personality adaptation specifically improves personalization (d = 4.58) without compromising basic quality (d &lt; 0.3)</w:t>
      </w:r>
    </w:p>
    <w:p>
      <w:r>
        <w:t xml:space="preserve">4. </w:t>
      </w:r>
      <w:r>
        <w:rPr>
          <w:b/>
        </w:rPr>
        <w:t>Validated evaluation methodology</w:t>
      </w:r>
      <w:r>
        <w:t xml:space="preserve"> benchmarked against clinical psychologists, establishing reliability and reducing AI-rating-AI concerns</w:t>
      </w:r>
    </w:p>
    <w:p>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pPr>
        <w:pStyle w:val="Heading2"/>
      </w:pPr>
      <w:r>
        <w:t>Addressing Perfect Performance: Ceiling Effects and Simulation Artifacts</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Heading2"/>
      </w:pPr>
      <w:r>
        <w:t>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Heading2"/>
      </w:pPr>
      <w:r>
        <w:t>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Limitations</w:t>
      </w:r>
    </w:p>
    <w:p>
      <w:r>
        <w:t>This study's findings must be interpreted within significant methodological constraints that restrict generalizability and real-world applicability.</w:t>
      </w:r>
    </w:p>
    <w:p>
      <w:pPr>
        <w:pStyle w:val="Heading2"/>
      </w:pPr>
      <w:r>
        <w:t>Study Design Limitations</w:t>
      </w:r>
    </w:p>
    <w:p>
      <w:r>
        <w:t>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r>
        <w:t>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p>
      <w:pPr>
        <w:pStyle w:val="Heading3"/>
      </w:pPr>
      <w:r>
        <w:t>Evaluation and Technical Limitations</w:t>
      </w:r>
    </w:p>
    <w:p>
      <w:r>
        <w:t>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r>
        <w:t>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p>
      <w:pPr>
        <w:pStyle w:val="Heading3"/>
      </w:pPr>
      <w:r>
        <w:t>Scope and Generalizability Limitations</w:t>
      </w:r>
    </w:p>
    <w:p>
      <w:r>
        <w:t>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r>
        <w:t>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r>
        <w:t>No measurement of actual health outcomes, therapeutic efficacy, user satisfaction, behavioral changes, or clinical improvement occurred. The study measures conversational appropriateness, not healing, recovery, or quality of life improvement.</w:t>
      </w:r>
    </w:p>
    <w:p>
      <w:pPr>
        <w:pStyle w:val="Heading3"/>
      </w:pPr>
      <w:r>
        <w:t>Ethical Considerations</w:t>
      </w:r>
    </w:p>
    <w:p>
      <w:r>
        <w:t>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p>
      <w:pPr>
        <w:pStyle w:val="Heading2"/>
      </w:pPr>
      <w:r>
        <w:t>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Future Research Priorities</w:t>
      </w:r>
    </w:p>
    <w:p>
      <w:r>
        <w:rPr>
          <w:b/>
        </w:rPr>
        <w:t>Immediate Next Steps for Human Subject Validation:</w:t>
      </w:r>
    </w:p>
    <w:p>
      <w:r>
        <w:t xml:space="preserve">1. </w:t>
      </w:r>
      <w:r>
        <w:rPr>
          <w:b/>
        </w:rPr>
        <w:t>Pilot Study with Real Users</w:t>
      </w:r>
      <w:r>
        <w:t xml:space="preserve"> (Timeline: 6-12 months):</w:t>
      </w:r>
    </w:p>
    <w:p>
      <w:r>
        <w:t xml:space="preserve">- </w:t>
      </w:r>
      <w:r>
        <w:rPr>
          <w:b/>
        </w:rPr>
        <w:t>Design</w:t>
      </w:r>
      <w:r>
        <w:t>: Randomized controlled trial with n = 50-100 elderly participants (25-50 per condition)</w:t>
      </w:r>
    </w:p>
    <w:p>
      <w:r>
        <w:t xml:space="preserve">- </w:t>
      </w:r>
      <w:r>
        <w:rPr>
          <w:b/>
        </w:rPr>
        <w:t>Inclusion Criteria</w:t>
      </w:r>
      <w:r>
        <w:t>: Adults aged 65+, living independently, moderate loneliness (UCLA Loneliness Scale score 40-60), no severe cognitive impairment (MMSE &gt; 24)</w:t>
      </w:r>
    </w:p>
    <w:p>
      <w:r>
        <w:t xml:space="preserve">- </w:t>
      </w:r>
      <w:r>
        <w:rPr>
          <w:b/>
        </w:rPr>
        <w:t>Interventions</w:t>
      </w:r>
      <w:r>
        <w:t>: Personality-adaptive conversational AI vs. static supportive AI vs. waitlist control</w:t>
      </w:r>
    </w:p>
    <w:p>
      <w:r>
        <w:t xml:space="preserve">- </w:t>
      </w:r>
      <w:r>
        <w:rPr>
          <w:b/>
        </w:rPr>
        <w:t>Duration</w:t>
      </w:r>
      <w:r>
        <w:t>: 4 weeks of daily 10-minute interactions (28 total sessions per participant)</w:t>
      </w:r>
    </w:p>
    <w:p>
      <w:r>
        <w:t xml:space="preserve">- </w:t>
      </w:r>
      <w:r>
        <w:rPr>
          <w:b/>
        </w:rPr>
        <w:t>Primary Outcome</w:t>
      </w:r>
      <w:r>
        <w:t>: Change in loneliness (UCLA Loneliness Scale, pre-post assessment)</w:t>
      </w:r>
    </w:p>
    <w:p>
      <w:r>
        <w:t xml:space="preserve">- </w:t>
      </w:r>
      <w:r>
        <w:rPr>
          <w:b/>
        </w:rPr>
        <w:t>Secondary Outcomes</w:t>
      </w:r>
      <w:r>
        <w:t>: User satisfaction (System Usability Scale), engagement metrics (session completion rate, conversation length), depression symptoms (PHQ-9), anxiety symptoms (GAD-7)</w:t>
      </w:r>
    </w:p>
    <w:p>
      <w:r>
        <w:t xml:space="preserve">- </w:t>
      </w:r>
      <w:r>
        <w:rPr>
          <w:b/>
        </w:rPr>
        <w:t>Personality Assessment</w:t>
      </w:r>
      <w:r>
        <w:t>: Validated Big Five assessment (NEO-PI-R or BFI-2) at baseline for comparison with AI detection</w:t>
      </w:r>
    </w:p>
    <w:p>
      <w:r>
        <w:t xml:space="preserve">- </w:t>
      </w:r>
      <w:r>
        <w:rPr>
          <w:b/>
        </w:rPr>
        <w:t>Safety Monitoring</w:t>
      </w:r>
      <w:r>
        <w:t>: Weekly check-ins with study staff to assess adverse events, psychological distress, or system malfunctions</w:t>
      </w:r>
    </w:p>
    <w:p>
      <w:r>
        <w:t xml:space="preserve">2. </w:t>
      </w:r>
      <w:r>
        <w:rPr>
          <w:b/>
        </w:rPr>
        <w:t>Human Expert Evaluation</w:t>
      </w:r>
      <w:r>
        <w:t xml:space="preserve"> (Concurrent with pilot):</w:t>
      </w:r>
    </w:p>
    <w:p>
      <w:r>
        <w:t>- Licensed clinical psychologists independently rate conversation quality across full pilot dataset</w:t>
      </w:r>
    </w:p>
    <w:p>
      <w:r>
        <w:t>- Compare AI-detected personality profiles with validated NEO-PI-R assessments (detection accuracy in real users)</w:t>
      </w:r>
    </w:p>
    <w:p>
      <w:r>
        <w:t>- Assess therapeutic appropriateness beyond conversational quality (potential harms, ethical concerns, clinical contraindications)</w:t>
      </w:r>
    </w:p>
    <w:p>
      <w:r>
        <w:t>- Qualitative interviews with participants about subjective experience, perceived personalization, and trust</w:t>
      </w:r>
    </w:p>
    <w:p>
      <w:r>
        <w:t xml:space="preserve">3. </w:t>
      </w:r>
      <w:r>
        <w:rPr>
          <w:b/>
        </w:rPr>
        <w:t>Moderate Personality Profile Testing</w:t>
      </w:r>
      <w:r>
        <w:t xml:space="preserve"> (Months 6-12):</w:t>
      </w:r>
    </w:p>
    <w:p>
      <w:r>
        <w:t>- Expand testing to users with moderate trait values (BFI-2 scores within 0.5 SD of population mean)</w:t>
      </w:r>
    </w:p>
    <w:p>
      <w:r>
        <w:t>- Assess whether personality adaptation provides benefits for non-extreme profiles</w:t>
      </w:r>
    </w:p>
    <w:p>
      <w:r>
        <w:t>- Map performance degradation curve as personality profiles move from extreme to moderate</w:t>
      </w:r>
    </w:p>
    <w:p>
      <w:r>
        <w:t xml:space="preserve">4. </w:t>
      </w:r>
      <w:r>
        <w:rPr>
          <w:b/>
        </w:rPr>
        <w:t>Cultural Validation Study</w:t>
      </w:r>
      <w:r>
        <w:t xml:space="preserve"> (Months 12-18):</w:t>
      </w:r>
    </w:p>
    <w:p>
      <w:r>
        <w:t>- Test system performance across diverse cultural groups (minimum: Western individualist, East Asian collectivist, Latin American cultures)</w:t>
      </w:r>
    </w:p>
    <w:p>
      <w:r>
        <w:t>- Translate prompts and validation with native speakers</w:t>
      </w:r>
    </w:p>
    <w:p>
      <w:r>
        <w:t>- Assess cultural bias in personality detection and appropriateness of regulation strategies</w:t>
      </w:r>
    </w:p>
    <w:p>
      <w:r>
        <w:t>- Develop culture-specific adaptation algorithms if necessary</w:t>
      </w:r>
    </w:p>
    <w:p>
      <w:r>
        <w:t xml:space="preserve">5. </w:t>
      </w:r>
      <w:r>
        <w:rPr>
          <w:b/>
        </w:rPr>
        <w:t>Longitudinal Effectiveness Study</w:t>
      </w:r>
      <w:r>
        <w:t xml:space="preserve"> (Months 18-36):</w:t>
      </w:r>
    </w:p>
    <w:p>
      <w:r>
        <w:t>- Extended engagement study (3-6 months) assessing sustained effectiveness</w:t>
      </w:r>
    </w:p>
    <w:p>
      <w:r>
        <w:t>- Measure relationship development, therapeutic alliance quality, and long-term outcomes</w:t>
      </w:r>
    </w:p>
    <w:p>
      <w:r>
        <w:t>- Assess adaptation to personality change over time</w:t>
      </w:r>
    </w:p>
    <w:p>
      <w:r>
        <w:t>- Identify long-term failure modes (repetitiveness, relationship fatigue, diminishing returns)</w:t>
      </w:r>
    </w:p>
    <w:p>
      <w:r>
        <w:rPr>
          <w:b/>
        </w:rPr>
        <w:t>Technical Development Priorities</w:t>
      </w:r>
      <w:r>
        <w:t>:</w:t>
      </w:r>
    </w:p>
    <w:p>
      <w:r>
        <w:t xml:space="preserve">1. </w:t>
      </w:r>
      <w:r>
        <w:rPr>
          <w:b/>
        </w:rPr>
        <w:t>Multimodal personality detection</w:t>
      </w:r>
      <w:r>
        <w:t xml:space="preserve"> (voice, facial expressions, physiological signals)</w:t>
      </w:r>
    </w:p>
    <w:p>
      <w:r>
        <w:t xml:space="preserve">2. </w:t>
      </w:r>
      <w:r>
        <w:rPr>
          <w:b/>
        </w:rPr>
        <w:t>Continuous learning and adaptation mechanisms</w:t>
      </w:r>
      <w:r>
        <w:t xml:space="preserve"> for improved accuracy over time</w:t>
      </w:r>
    </w:p>
    <w:p>
      <w:r>
        <w:t xml:space="preserve">3. </w:t>
      </w:r>
      <w:r>
        <w:rPr>
          <w:b/>
        </w:rPr>
        <w:t>Cultural bias detection and mitigation algorithms</w:t>
      </w:r>
      <w:r>
        <w:t xml:space="preserve"> for global healthcare applications</w:t>
      </w:r>
    </w:p>
    <w:p>
      <w:r>
        <w:t xml:space="preserve">4. </w:t>
      </w:r>
      <w:r>
        <w:rPr>
          <w:b/>
        </w:rPr>
        <w:t>Uncertainty quantification</w:t>
      </w:r>
      <w:r>
        <w:t xml:space="preserve"> enabling the system to acknowledge when confidence is low</w:t>
      </w:r>
    </w:p>
    <w:p>
      <w:r>
        <w:t xml:space="preserve">5. </w:t>
      </w:r>
      <w:r>
        <w:rPr>
          <w:b/>
        </w:rPr>
        <w:t>Failure mode detection</w:t>
      </w:r>
      <w:r>
        <w:t xml:space="preserve"> to recognize when the system is outside its competence range</w:t>
      </w:r>
    </w:p>
    <w:p>
      <w:r>
        <w:rPr>
          <w:b/>
        </w:rPr>
        <w:t>Regulatory and Ethical Framework Development</w:t>
      </w:r>
      <w:r>
        <w:t>:</w:t>
      </w:r>
    </w:p>
    <w:p>
      <w:r>
        <w:t xml:space="preserve">1. </w:t>
      </w:r>
      <w:r>
        <w:rPr>
          <w:b/>
        </w:rPr>
        <w:t>IRB Protocol Development</w:t>
      </w:r>
      <w:r>
        <w:t>: Complete human subject research protocols for pilot study</w:t>
      </w:r>
    </w:p>
    <w:p>
      <w:r>
        <w:t xml:space="preserve">2. </w:t>
      </w:r>
      <w:r>
        <w:rPr>
          <w:b/>
        </w:rPr>
        <w:t>Informed Consent Framework</w:t>
      </w:r>
      <w:r>
        <w:t>: Develop consent process explaining AI personality profiling, data use, and limitations</w:t>
      </w:r>
    </w:p>
    <w:p>
      <w:r>
        <w:t xml:space="preserve">3. </w:t>
      </w:r>
      <w:r>
        <w:rPr>
          <w:b/>
        </w:rPr>
        <w:t>Safety Monitoring Plan</w:t>
      </w:r>
      <w:r>
        <w:t>: Establish protocols for detecting and responding to adverse events</w:t>
      </w:r>
    </w:p>
    <w:p>
      <w:r>
        <w:t xml:space="preserve">4. </w:t>
      </w:r>
      <w:r>
        <w:rPr>
          <w:b/>
        </w:rPr>
        <w:t>Regulatory Pathway Planning</w:t>
      </w:r>
      <w:r>
        <w:t>: Engage with FDA/EMA on classification and approval requirements for healthcare AI</w:t>
      </w:r>
    </w:p>
    <w:p>
      <w:r>
        <w:rPr>
          <w:b/>
        </w:rPr>
        <w:t>Healthcare Integration Research</w:t>
      </w:r>
      <w:r>
        <w:t>:</w:t>
      </w:r>
    </w:p>
    <w:p>
      <w:r>
        <w:t xml:space="preserve">1. </w:t>
      </w:r>
      <w:r>
        <w:rPr>
          <w:b/>
        </w:rPr>
        <w:t>Electronic Health Record (EHR) integration</w:t>
      </w:r>
      <w:r>
        <w:t xml:space="preserve"> feasibility and workflow analysis</w:t>
      </w:r>
    </w:p>
    <w:p>
      <w:r>
        <w:t xml:space="preserve">2. </w:t>
      </w:r>
      <w:r>
        <w:rPr>
          <w:b/>
        </w:rPr>
        <w:t>Provider training and education</w:t>
      </w:r>
      <w:r>
        <w:t xml:space="preserve"> program development</w:t>
      </w:r>
    </w:p>
    <w:p>
      <w:r>
        <w:t xml:space="preserve">3. </w:t>
      </w:r>
      <w:r>
        <w:rPr>
          <w:b/>
        </w:rPr>
        <w:t>Patient education and engagement</w:t>
      </w:r>
      <w:r>
        <w:t xml:space="preserve"> materials development</w:t>
      </w:r>
    </w:p>
    <w:p>
      <w:r>
        <w:t xml:space="preserve">4. </w:t>
      </w:r>
      <w:r>
        <w:rPr>
          <w:b/>
        </w:rPr>
        <w:t>Quality assurance and monitoring</w:t>
      </w:r>
      <w:r>
        <w:t xml:space="preserve"> systems for ongoing safety assessment</w:t>
      </w:r>
    </w:p>
    <w:p>
      <w:r>
        <w:rPr>
          <w:b/>
        </w:rPr>
        <w:t>Timeline Summary</w:t>
      </w:r>
      <w:r>
        <w:t>: We estimate 2-3 years for comprehensive human subject validation, cultural testing, and regulatory preparation before this technology could be considered ready for clinical piloting in controlled healthcare settings. Even then, deployment would require ongoing monitoring, professional oversight, and iterative refinement based on real-world performance data.</w:t>
      </w:r>
    </w:p>
    <w:p>
      <w:pPr>
        <w:pStyle w:val="Heading1"/>
      </w:pPr>
      <w:r>
        <w:t>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