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pPr>
        <w:pStyle w:val="Heading1"/>
      </w:pPr>
      <w:r>
        <w:t>Introduction</w:t>
      </w:r>
    </w:p>
    <w:p>
      <w:pPr>
        <w:pStyle w:val="Heading2"/>
      </w:pPr>
      <w:r>
        <w:t>Background and Significance</w:t>
      </w:r>
    </w:p>
    <w:p>
      <w:r>
        <w:t>Loneliness and social isolation among older adults constitute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have created structural barriers to social engagement [2]. Switzerland, like other developed nations, faces increasing prevalence of social isolation among elderly populations, particularly among those aged 75 and older living independently [3]. This societal challenge has prompted investigation into scalable interventions, including conversational artificial intelligence systems, to supplement traditional healthcare services and provide accessible emotional support.</w:t>
      </w:r>
    </w:p>
    <w:p>
      <w:r>
        <w:t>Contemporary conversational agents employed in healthcare and elder care contexts typically employ generic, non-adaptive support strategies. While such systems demonstrate engagement and acceptability [4], they fail to acknowledge that individuals exhibit systematic differences in communication preferences, emotional regulation strategies, and social interaction styles grounded in personality differences [5,6]. This fundamental limitation suggests potential for enhanced therapeutic outcomes through personality-aware adaptive systems that match behavioral interventions to individual psychological characteristics.</w:t>
      </w:r>
    </w:p>
    <w:p>
      <w:pPr>
        <w:pStyle w:val="Heading2"/>
      </w:pPr>
      <w:r>
        <w:t>Current State of the Evidence</w:t>
      </w:r>
    </w:p>
    <w:p>
      <w:r>
        <w:t>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substantial gaps persist in current research: (1) limited integration of psychological theory in behavior regulation mechanisms, (2) absence of rigorous validation in healthcare contexts, and (3) lack of comprehensive evaluation frameworks combining automated assessment with human expert validation.</w:t>
      </w:r>
    </w:p>
    <w:p>
      <w:r>
        <w:t>Existing personality-adaptive systems, such as the PROMISE framework [10], demonstrate improved user satisfaction but lack theoretical grounding in motivational psychology and healthcare-specific design considerations. The Zurich Model of Social Motivation [11], while extensively validated in psychological research, has not been systematically applied to conversational AI behavior regulation. This theoretical gap represents an opportunity to ground personality-adaptive mechanisms in established psychological frameworks, potentially enhancing both effectiveness and interpretability.</w:t>
      </w:r>
    </w:p>
    <w:p>
      <w:pPr>
        <w:pStyle w:val="Heading2"/>
      </w:pPr>
      <w:r>
        <w:t>Research Objectives and Expected Contributions</w:t>
      </w:r>
    </w:p>
    <w:p>
      <w:r>
        <w:t xml:space="preserve">This simulation study evaluated the technical feasibility and quantified performance benefits of an integrated personality-adaptive framework combining: (1) real-time Big Five trait detection, (2) Zurich Model-aligned behavior regulation, and (3) validated evaluation methodology benchmarked against clinical psychologists. We present the first integrated implementation of Zurich Model-aligned behavior regulation in conversational AI, combining personality detection with theoretically-grounded adaptation mechanisms. Our simulation demonstrates that personality-adaptive agents achieve perfect detection accuracy (100%, 58/58) and regulation effectiveness (100%, 59/59), with exceptionally large effect sizes for personality-specific adaptation (Cohen's </w:t>
      </w:r>
      <w:r>
        <w:rPr>
          <w:i/>
        </w:rPr>
        <w:t>d</w:t>
      </w:r>
      <w:r>
        <w:t xml:space="preserve"> = 4.58, </w:t>
      </w:r>
      <w:r>
        <w:rPr>
          <w:i/>
        </w:rPr>
        <w:t>p</w:t>
      </w:r>
      <w:r>
        <w:t xml:space="preserve"> &lt; 0.001). We further contribute a validated evaluation framework establishing excellent agreement between AI-based assessment and clinical psychologists (κ = 0.89), addressing concerns about AI-evaluating-AI bias.</w:t>
      </w:r>
    </w:p>
    <w:p>
      <w:r>
        <w:t>We emphasize that these findings represent proof-of-concept demonstration under controlled conditions rather than evidence of real-world clinical effectiveness. Extensive human subject validation is required before any healthcare application or therapeutic claim can be supported.</w:t>
      </w:r>
    </w:p>
    <w:p>
      <w:pPr>
        <w:pStyle w:val="Heading1"/>
      </w:pPr>
      <w:r>
        <w:t>Related Work</w:t>
      </w:r>
    </w:p>
    <w:p>
      <w:r>
        <w:t>This section provides a comprehensive review of research relevant to personality-adaptive conversational AI with potential applications in supportive interaction contexts. We organize the review into five thematic areas (1) challenges and evolution in affective computing, (2) advancements with LLMs and multimodal systems, (3) AI companions and digital interventions for loneliness, (4) personality-aware dialogue systems, and (5) regulation models and evaluation methodologies.</w:t>
      </w:r>
    </w:p>
    <w:p>
      <w:pPr>
        <w:pStyle w:val="Heading2"/>
      </w:pPr>
      <w:r>
        <w:t>Challenges and Evolution in Affective Computing</w:t>
      </w:r>
    </w:p>
    <w:p>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pPr>
        <w:pStyle w:val="Heading2"/>
      </w:pPr>
      <w:r>
        <w:t>Advancements with Large Language Models and Multimodal Systems</w:t>
      </w:r>
    </w:p>
    <w:p>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pPr>
        <w:pStyle w:val="Heading2"/>
      </w:pPr>
      <w:r>
        <w:t>AI Companions and Digital Interventions for Loneliness</w:t>
      </w:r>
    </w:p>
    <w:p>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pPr>
        <w:pStyle w:val="Heading2"/>
      </w:pPr>
      <w:r>
        <w:t>Personality-Aware Dialogue Systems and the PROMISE Framework</w:t>
      </w:r>
    </w:p>
    <w:p>
      <w:r>
        <w:t>Incorporating user personality is a growing area. Recent architectural advancements have provided new tools for building sophisticated, adaptive chatbots. The PROMISE framework (Wu et al., 2023) offers a robust architecture for complex conversation management through stateful prompt orchestration, separating dialogue state tracking and response generation into distinct components [7]. This modular design provides an effective foundation for integrating personality-adaptive mechanisms.</w:t>
      </w:r>
    </w:p>
    <w:p>
      <w:r>
        <w:t xml:space="preserve">However, while PROMISE provides the </w:t>
      </w:r>
      <w:r>
        <w:rPr>
          <w:i/>
        </w:rPr>
        <w:t>architecture</w:t>
      </w:r>
      <w:r>
        <w:t xml:space="preserve"> for adaptation, it does not itself include personality detection modules or a psychological framework for determining </w:t>
      </w:r>
      <w:r>
        <w:rPr>
          <w:i/>
        </w:rPr>
        <w:t>how</w:t>
      </w:r>
      <w:r>
        <w:t xml:space="preserve"> behavior should adapt. This research gap is addressed in the present study by extending PROMISE with: (1) a real-time Big Five personality detection module that infers user traits from dialogue content, (2) a behavior regulation module grounded in the Zurich Model of Social Motivation, operationalizing psychological theory for chatbot adaptation, and (3) healthcare-specific application design for emotional support contexts.</w:t>
      </w:r>
    </w:p>
    <w:p>
      <w:r>
        <w:t>Specifically, the present work implements:</w:t>
      </w:r>
    </w:p>
    <w:p>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w:t>
      </w:r>
    </w:p>
    <w:p>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w:t>
      </w:r>
    </w:p>
    <w:p>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w:t>
      </w:r>
    </w:p>
    <w:p>
      <w:r>
        <w:t>This integration directly addresses critical gaps in the literature by creating a personality-adaptive system validated for healthcare application and grounded in established motivational psychology theory.</w:t>
      </w:r>
    </w:p>
    <w:p>
      <w:pPr>
        <w:pStyle w:val="Heading2"/>
      </w:pPr>
      <w:r>
        <w:t>Regulation Models and Evaluation Frameworks</w:t>
      </w:r>
    </w:p>
    <w:p>
      <w:r>
        <w:t>While systems like EmoAda and evaluation frameworks like FEEL (Zhang et al., 2024) advance emotion tracking and assessment, few explicitly operationalize psychological regulation theories. This work addresses this gap by aligning behavior regulation directly with the Zurich Model of Social Motivation (Bischof, 1993; Quirin et al., 2023), enabling trait-specific adjustments across motivational domains (security, affiliation, arousal).</w:t>
      </w:r>
    </w:p>
    <w:p>
      <w:r>
        <w:t>The Zurich Model demonstrates systematic mapping of Big Five personality traits to core motivational systems. High Neuroticism correlates negatively with security system regulation, high Openness and Extraversion associate with arousal system activation, and Agreeableness relates to affiliation system dominance (Quirin et al., 2023). This mapping provides the theoretical foundation for the current work's behavior regulation architecture.</w:t>
      </w:r>
    </w:p>
    <w:p>
      <w:r>
        <w:t>While frameworks like FEEL offer improvements in evaluation,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pPr>
        <w:pStyle w:val="Heading2"/>
      </w:pPr>
      <w:r>
        <w:t>Identified Gaps and Thesis Contribution</w:t>
      </w:r>
    </w:p>
    <w:p>
      <w:r>
        <w:t>Based on comprehensive literature review, three critical research gaps were identified that this work directly addresses:</w:t>
      </w:r>
    </w:p>
    <w:p>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w:t>
      </w:r>
    </w:p>
    <w:p>
      <w:r>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underexplored in conversational AI.</w:t>
      </w:r>
    </w:p>
    <w:p>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w:t>
      </w:r>
    </w:p>
    <w:p>
      <w:r>
        <w:rPr>
          <w:b/>
        </w:rPr>
        <w:t>Study Contribution</w:t>
      </w:r>
      <w:r>
        <w:t>: This work presents: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pPr>
        <w:pStyle w:val="Heading1"/>
      </w:pPr>
      <w:r>
        <w:t>Materials and Methods</w:t>
      </w:r>
    </w:p>
    <w:p>
      <w:pPr>
        <w:pStyle w:val="Heading2"/>
      </w:pPr>
      <w:r>
        <w:t>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Evaluation Methodology</w:t>
      </w:r>
    </w:p>
    <w:p>
      <w:r>
        <w:t>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pPr>
        <w:pStyle w:val="Heading3"/>
      </w:pPr>
      <w:r>
        <w:t>Ethics Statement### 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Personality Detection Module</w:t>
      </w:r>
    </w:p>
    <w:p>
      <w:pPr>
        <w:pStyle w:val="Heading3"/>
      </w:pPr>
      <w:r>
        <w:t>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Behavior Regulation Module</w:t>
      </w:r>
    </w:p>
    <w:p>
      <w:pPr>
        <w:pStyle w:val="Heading3"/>
      </w:pPr>
      <w:r>
        <w:t>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Trait</w:t>
            </w:r>
          </w:p>
        </w:tc>
        <w:tc>
          <w:tcPr>
            <w:tcW w:type="dxa" w:w="2480"/>
          </w:tcPr>
          <w:p>
            <w:r>
              <w:rPr>
                <w:rFonts w:ascii="Times New Roman" w:hAnsi="Times New Roman"/>
                <w:b/>
                <w:sz w:val="18"/>
              </w:rPr>
              <w:t>High (+1) Regulation Prompt</w:t>
            </w:r>
          </w:p>
        </w:tc>
        <w:tc>
          <w:tcPr>
            <w:tcW w:type="dxa" w:w="2480"/>
          </w:tcPr>
          <w:p>
            <w:r>
              <w:rPr>
                <w:rFonts w:ascii="Times New Roman" w:hAnsi="Times New Roman"/>
                <w:b/>
                <w:sz w:val="18"/>
              </w:rPr>
              <w:t>Low (-1) Regulation Prompt</w:t>
            </w:r>
          </w:p>
        </w:tc>
        <w:tc>
          <w:tcPr>
            <w:tcW w:type="dxa" w:w="2480"/>
          </w:tcPr>
          <w:p>
            <w:r>
              <w:rPr>
                <w:rFonts w:ascii="Times New Roman" w:hAnsi="Times New Roman"/>
                <w:b/>
                <w:sz w:val="18"/>
              </w:rPr>
              <w:t>Motivational Domain</w:t>
            </w:r>
          </w:p>
        </w:tc>
      </w:tr>
      <w:tr>
        <w:tc>
          <w:tcPr>
            <w:tcW w:type="dxa" w:w="2480"/>
          </w:tcPr>
          <w:p>
            <w:r>
              <w:rPr>
                <w:rFonts w:ascii="Times New Roman" w:hAnsi="Times New Roman"/>
                <w:sz w:val="18"/>
              </w:rPr>
              <w:t>Openness</w:t>
            </w:r>
          </w:p>
        </w:tc>
        <w:tc>
          <w:tcPr>
            <w:tcW w:type="dxa" w:w="2480"/>
          </w:tcPr>
          <w:p>
            <w:r>
              <w:rPr>
                <w:rFonts w:ascii="Times New Roman" w:hAnsi="Times New Roman"/>
                <w:sz w:val="18"/>
              </w:rPr>
              <w:t>"Explore diverse approaches, introduce new concepts"</w:t>
            </w:r>
          </w:p>
        </w:tc>
        <w:tc>
          <w:tcPr>
            <w:tcW w:type="dxa" w:w="2480"/>
          </w:tcPr>
          <w:p>
            <w:r>
              <w:rPr>
                <w:rFonts w:ascii="Times New Roman" w:hAnsi="Times New Roman"/>
                <w:sz w:val="18"/>
              </w:rPr>
              <w:t>"Focus on familiar, established practices"</w:t>
            </w:r>
          </w:p>
        </w:tc>
        <w:tc>
          <w:tcPr>
            <w:tcW w:type="dxa" w:w="2480"/>
          </w:tcPr>
          <w:p>
            <w:r>
              <w:rPr>
                <w:rFonts w:ascii="Times New Roman" w:hAnsi="Times New Roman"/>
                <w:sz w:val="18"/>
              </w:rPr>
              <w:t>Arousal</w:t>
            </w:r>
          </w:p>
        </w:tc>
      </w:tr>
      <w:tr>
        <w:tc>
          <w:tcPr>
            <w:tcW w:type="dxa" w:w="2480"/>
          </w:tcPr>
          <w:p>
            <w:r>
              <w:rPr>
                <w:rFonts w:ascii="Times New Roman" w:hAnsi="Times New Roman"/>
                <w:sz w:val="18"/>
              </w:rPr>
              <w:t>Conscientiousness</w:t>
            </w:r>
          </w:p>
        </w:tc>
        <w:tc>
          <w:tcPr>
            <w:tcW w:type="dxa" w:w="2480"/>
          </w:tcPr>
          <w:p>
            <w:r>
              <w:rPr>
                <w:rFonts w:ascii="Times New Roman" w:hAnsi="Times New Roman"/>
                <w:sz w:val="18"/>
              </w:rPr>
              <w:t>"Provide structured, systematic guidance"</w:t>
            </w:r>
          </w:p>
        </w:tc>
        <w:tc>
          <w:tcPr>
            <w:tcW w:type="dxa" w:w="2480"/>
          </w:tcPr>
          <w:p>
            <w:r>
              <w:rPr>
                <w:rFonts w:ascii="Times New Roman" w:hAnsi="Times New Roman"/>
                <w:sz w:val="18"/>
              </w:rPr>
              <w:t>"Offer flexible, adaptable approaches"</w:t>
            </w:r>
          </w:p>
        </w:tc>
        <w:tc>
          <w:tcPr>
            <w:tcW w:type="dxa" w:w="2480"/>
          </w:tcPr>
          <w:p>
            <w:r>
              <w:rPr>
                <w:rFonts w:ascii="Times New Roman" w:hAnsi="Times New Roman"/>
                <w:sz w:val="18"/>
              </w:rPr>
              <w:t>Arousal</w:t>
            </w:r>
          </w:p>
        </w:tc>
      </w:tr>
      <w:tr>
        <w:tc>
          <w:tcPr>
            <w:tcW w:type="dxa" w:w="2480"/>
          </w:tcPr>
          <w:p>
            <w:r>
              <w:rPr>
                <w:rFonts w:ascii="Times New Roman" w:hAnsi="Times New Roman"/>
                <w:sz w:val="18"/>
              </w:rPr>
              <w:t>Extraversion</w:t>
            </w:r>
          </w:p>
        </w:tc>
        <w:tc>
          <w:tcPr>
            <w:tcW w:type="dxa" w:w="2480"/>
          </w:tcPr>
          <w:p>
            <w:r>
              <w:rPr>
                <w:rFonts w:ascii="Times New Roman" w:hAnsi="Times New Roman"/>
                <w:sz w:val="18"/>
              </w:rPr>
              <w:t>"Use encouraging, interactive communication"</w:t>
            </w:r>
          </w:p>
        </w:tc>
        <w:tc>
          <w:tcPr>
            <w:tcW w:type="dxa" w:w="2480"/>
          </w:tcPr>
          <w:p>
            <w:r>
              <w:rPr>
                <w:rFonts w:ascii="Times New Roman" w:hAnsi="Times New Roman"/>
                <w:sz w:val="18"/>
              </w:rPr>
              <w:t>"Adopt calm, reflective tone"</w:t>
            </w:r>
          </w:p>
        </w:tc>
        <w:tc>
          <w:tcPr>
            <w:tcW w:type="dxa" w:w="2480"/>
          </w:tcPr>
          <w:p>
            <w:r>
              <w:rPr>
                <w:rFonts w:ascii="Times New Roman" w:hAnsi="Times New Roman"/>
                <w:sz w:val="18"/>
              </w:rPr>
              <w:t>Arousal</w:t>
            </w:r>
          </w:p>
        </w:tc>
      </w:tr>
      <w:tr>
        <w:tc>
          <w:tcPr>
            <w:tcW w:type="dxa" w:w="2480"/>
          </w:tcPr>
          <w:p>
            <w:r>
              <w:rPr>
                <w:rFonts w:ascii="Times New Roman" w:hAnsi="Times New Roman"/>
                <w:sz w:val="18"/>
              </w:rPr>
              <w:t>Agreeableness</w:t>
            </w:r>
          </w:p>
        </w:tc>
        <w:tc>
          <w:tcPr>
            <w:tcW w:type="dxa" w:w="2480"/>
          </w:tcPr>
          <w:p>
            <w:r>
              <w:rPr>
                <w:rFonts w:ascii="Times New Roman" w:hAnsi="Times New Roman"/>
                <w:sz w:val="18"/>
              </w:rPr>
              <w:t>"Show warmth, collaborative planning"</w:t>
            </w:r>
          </w:p>
        </w:tc>
        <w:tc>
          <w:tcPr>
            <w:tcW w:type="dxa" w:w="2480"/>
          </w:tcPr>
          <w:p>
            <w:r>
              <w:rPr>
                <w:rFonts w:ascii="Times New Roman" w:hAnsi="Times New Roman"/>
                <w:sz w:val="18"/>
              </w:rPr>
              <w:t>"Use neutral, professional stance"</w:t>
            </w:r>
          </w:p>
        </w:tc>
        <w:tc>
          <w:tcPr>
            <w:tcW w:type="dxa" w:w="2480"/>
          </w:tcPr>
          <w:p>
            <w:r>
              <w:rPr>
                <w:rFonts w:ascii="Times New Roman" w:hAnsi="Times New Roman"/>
                <w:sz w:val="18"/>
              </w:rPr>
              <w:t>Affiliation</w:t>
            </w:r>
          </w:p>
        </w:tc>
      </w:tr>
      <w:tr>
        <w:tc>
          <w:tcPr>
            <w:tcW w:type="dxa" w:w="2480"/>
          </w:tcPr>
          <w:p>
            <w:r>
              <w:rPr>
                <w:rFonts w:ascii="Times New Roman" w:hAnsi="Times New Roman"/>
                <w:sz w:val="18"/>
              </w:rPr>
              <w:t>Neuroticism</w:t>
            </w:r>
          </w:p>
        </w:tc>
        <w:tc>
          <w:tcPr>
            <w:tcW w:type="dxa" w:w="2480"/>
          </w:tcPr>
          <w:p>
            <w:r>
              <w:rPr>
                <w:rFonts w:ascii="Times New Roman" w:hAnsi="Times New Roman"/>
                <w:sz w:val="18"/>
              </w:rPr>
              <w:t>"Reinforce stability, confidence"</w:t>
            </w:r>
          </w:p>
        </w:tc>
        <w:tc>
          <w:tcPr>
            <w:tcW w:type="dxa" w:w="2480"/>
          </w:tcPr>
          <w:p>
            <w:r>
              <w:rPr>
                <w:rFonts w:ascii="Times New Roman" w:hAnsi="Times New Roman"/>
                <w:sz w:val="18"/>
              </w:rPr>
              <w:t>"Provide extra support, acknowledge concerns"</w:t>
            </w:r>
          </w:p>
        </w:tc>
        <w:tc>
          <w:tcPr>
            <w:tcW w:type="dxa" w:w="2480"/>
          </w:tcPr>
          <w:p>
            <w:r>
              <w:rPr>
                <w:rFonts w:ascii="Times New Roman" w:hAnsi="Times New Roman"/>
                <w:sz w:val="18"/>
              </w:rPr>
              <w:t>Security</w:t>
            </w:r>
          </w:p>
        </w:tc>
      </w:tr>
    </w:tbl>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Experimental Protocol</w:t>
      </w:r>
    </w:p>
    <w:p>
      <w:pPr>
        <w:pStyle w:val="Heading3"/>
      </w:pPr>
      <w:r>
        <w:t>Personality Profile Simulation</w:t>
      </w:r>
    </w:p>
    <w:p>
      <w:r>
        <w:t>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r>
        <w:t>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Big Five Trait</w:t>
            </w:r>
          </w:p>
        </w:tc>
        <w:tc>
          <w:tcPr>
            <w:tcW w:type="dxa" w:w="3307"/>
          </w:tcPr>
          <w:p>
            <w:r>
              <w:rPr>
                <w:rFonts w:ascii="Times New Roman" w:hAnsi="Times New Roman"/>
                <w:b/>
                <w:sz w:val="18"/>
              </w:rPr>
              <w:t>Type A (High-Functioning)</w:t>
            </w:r>
          </w:p>
        </w:tc>
        <w:tc>
          <w:tcPr>
            <w:tcW w:type="dxa" w:w="3307"/>
          </w:tcPr>
          <w:p>
            <w:r>
              <w:rPr>
                <w:rFonts w:ascii="Times New Roman" w:hAnsi="Times New Roman"/>
                <w:b/>
                <w:sz w:val="18"/>
              </w:rPr>
              <w:t>Type B (Vulnerable)</w:t>
            </w:r>
          </w:p>
        </w:tc>
      </w:tr>
      <w:tr>
        <w:tc>
          <w:tcPr>
            <w:tcW w:type="dxa" w:w="3307"/>
          </w:tcPr>
          <w:p>
            <w:r>
              <w:rPr>
                <w:rFonts w:ascii="Times New Roman" w:hAnsi="Times New Roman"/>
                <w:sz w:val="18"/>
              </w:rPr>
              <w:t>Openness</w:t>
            </w:r>
          </w:p>
        </w:tc>
        <w:tc>
          <w:tcPr>
            <w:tcW w:type="dxa" w:w="3307"/>
          </w:tcPr>
          <w:p>
            <w:r>
              <w:rPr>
                <w:rFonts w:ascii="Times New Roman" w:hAnsi="Times New Roman"/>
                <w:sz w:val="18"/>
              </w:rPr>
              <w:t>"I'd love to explore different approaches and try new strategies"</w:t>
            </w:r>
          </w:p>
        </w:tc>
        <w:tc>
          <w:tcPr>
            <w:tcW w:type="dxa" w:w="3307"/>
          </w:tcPr>
          <w:p>
            <w:r>
              <w:rPr>
                <w:rFonts w:ascii="Times New Roman" w:hAnsi="Times New Roman"/>
                <w:sz w:val="18"/>
              </w:rPr>
              <w:t>"I don't see the point in trying new things, let's stick to what works"</w:t>
            </w:r>
          </w:p>
        </w:tc>
      </w:tr>
      <w:tr>
        <w:tc>
          <w:tcPr>
            <w:tcW w:type="dxa" w:w="3307"/>
          </w:tcPr>
          <w:p>
            <w:r>
              <w:rPr>
                <w:rFonts w:ascii="Times New Roman" w:hAnsi="Times New Roman"/>
                <w:sz w:val="18"/>
              </w:rPr>
              <w:t>Conscientiousness</w:t>
            </w:r>
          </w:p>
        </w:tc>
        <w:tc>
          <w:tcPr>
            <w:tcW w:type="dxa" w:w="3307"/>
          </w:tcPr>
          <w:p>
            <w:r>
              <w:rPr>
                <w:rFonts w:ascii="Times New Roman" w:hAnsi="Times New Roman"/>
                <w:sz w:val="18"/>
              </w:rPr>
              <w:t>"Let me organize this systematically and set clear goals"</w:t>
            </w:r>
          </w:p>
        </w:tc>
        <w:tc>
          <w:tcPr>
            <w:tcW w:type="dxa" w:w="3307"/>
          </w:tcPr>
          <w:p>
            <w:r>
              <w:rPr>
                <w:rFonts w:ascii="Times New Roman" w:hAnsi="Times New Roman"/>
                <w:sz w:val="18"/>
              </w:rPr>
              <w:t>"I'll figure it out when I feel like it, no need to rush"</w:t>
            </w:r>
          </w:p>
        </w:tc>
      </w:tr>
      <w:tr>
        <w:tc>
          <w:tcPr>
            <w:tcW w:type="dxa" w:w="3307"/>
          </w:tcPr>
          <w:p>
            <w:r>
              <w:rPr>
                <w:rFonts w:ascii="Times New Roman" w:hAnsi="Times New Roman"/>
                <w:sz w:val="18"/>
              </w:rPr>
              <w:t>Extraversion</w:t>
            </w:r>
          </w:p>
        </w:tc>
        <w:tc>
          <w:tcPr>
            <w:tcW w:type="dxa" w:w="3307"/>
          </w:tcPr>
          <w:p>
            <w:r>
              <w:rPr>
                <w:rFonts w:ascii="Times New Roman" w:hAnsi="Times New Roman"/>
                <w:sz w:val="18"/>
              </w:rPr>
              <w:t>"I'm excited to work together and share my experiences"</w:t>
            </w:r>
          </w:p>
        </w:tc>
        <w:tc>
          <w:tcPr>
            <w:tcW w:type="dxa" w:w="3307"/>
          </w:tcPr>
          <w:p>
            <w:r>
              <w:rPr>
                <w:rFonts w:ascii="Times New Roman" w:hAnsi="Times New Roman"/>
                <w:sz w:val="18"/>
              </w:rPr>
              <w:t>"I need to be alone right now, I'm not in the mood to socialize"</w:t>
            </w:r>
          </w:p>
        </w:tc>
      </w:tr>
      <w:tr>
        <w:tc>
          <w:tcPr>
            <w:tcW w:type="dxa" w:w="3307"/>
          </w:tcPr>
          <w:p>
            <w:r>
              <w:rPr>
                <w:rFonts w:ascii="Times New Roman" w:hAnsi="Times New Roman"/>
                <w:sz w:val="18"/>
              </w:rPr>
              <w:t>Agreeableness</w:t>
            </w:r>
          </w:p>
        </w:tc>
        <w:tc>
          <w:tcPr>
            <w:tcW w:type="dxa" w:w="3307"/>
          </w:tcPr>
          <w:p>
            <w:r>
              <w:rPr>
                <w:rFonts w:ascii="Times New Roman" w:hAnsi="Times New Roman"/>
                <w:sz w:val="18"/>
              </w:rPr>
              <w:t>"I understand and appreciate your perspective, let's collaborate"</w:t>
            </w:r>
          </w:p>
        </w:tc>
        <w:tc>
          <w:tcPr>
            <w:tcW w:type="dxa" w:w="3307"/>
          </w:tcPr>
          <w:p>
            <w:r>
              <w:rPr>
                <w:rFonts w:ascii="Times New Roman" w:hAnsi="Times New Roman"/>
                <w:sz w:val="18"/>
              </w:rPr>
              <w:t>"Actually, I disagree with that approach, it won't work for me"</w:t>
            </w:r>
          </w:p>
        </w:tc>
      </w:tr>
      <w:tr>
        <w:tc>
          <w:tcPr>
            <w:tcW w:type="dxa" w:w="3307"/>
          </w:tcPr>
          <w:p>
            <w:r>
              <w:rPr>
                <w:rFonts w:ascii="Times New Roman" w:hAnsi="Times New Roman"/>
                <w:sz w:val="18"/>
              </w:rPr>
              <w:t>Neuroticism</w:t>
            </w:r>
          </w:p>
        </w:tc>
        <w:tc>
          <w:tcPr>
            <w:tcW w:type="dxa" w:w="3307"/>
          </w:tcPr>
          <w:p>
            <w:r>
              <w:rPr>
                <w:rFonts w:ascii="Times New Roman" w:hAnsi="Times New Roman"/>
                <w:sz w:val="18"/>
              </w:rPr>
              <w:t>"I feel confident we can handle this together"</w:t>
            </w:r>
          </w:p>
        </w:tc>
        <w:tc>
          <w:tcPr>
            <w:tcW w:type="dxa" w:w="3307"/>
          </w:tcPr>
          <w:p>
            <w:r>
              <w:rPr>
                <w:rFonts w:ascii="Times New Roman" w:hAnsi="Times New Roman"/>
                <w:sz w:val="18"/>
              </w:rPr>
              <w:t>"I'm worried this will make things worse, I don't feel safe"</w:t>
            </w:r>
          </w:p>
        </w:tc>
      </w:tr>
    </w:tbl>
    <w:p/>
    <w:p>
      <w:pPr>
        <w:pStyle w:val="Heading3"/>
      </w:pPr>
      <w:r>
        <w:t>Agent Configuration</w:t>
      </w:r>
    </w:p>
    <w:p>
      <w:r>
        <w:t>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Component</w:t>
            </w:r>
          </w:p>
        </w:tc>
        <w:tc>
          <w:tcPr>
            <w:tcW w:type="dxa" w:w="2480"/>
          </w:tcPr>
          <w:p>
            <w:r>
              <w:rPr>
                <w:rFonts w:ascii="Times New Roman" w:hAnsi="Times New Roman"/>
                <w:b/>
                <w:sz w:val="18"/>
              </w:rPr>
              <w:t>Regulated Agents</w:t>
            </w:r>
          </w:p>
        </w:tc>
        <w:tc>
          <w:tcPr>
            <w:tcW w:type="dxa" w:w="2480"/>
          </w:tcPr>
          <w:p>
            <w:r>
              <w:rPr>
                <w:rFonts w:ascii="Times New Roman" w:hAnsi="Times New Roman"/>
                <w:b/>
                <w:sz w:val="18"/>
              </w:rPr>
              <w:t>Baseline Agents</w:t>
            </w:r>
          </w:p>
        </w:tc>
        <w:tc>
          <w:tcPr>
            <w:tcW w:type="dxa" w:w="2480"/>
          </w:tcPr>
          <w:p>
            <w:r>
              <w:rPr>
                <w:rFonts w:ascii="Times New Roman" w:hAnsi="Times New Roman"/>
                <w:b/>
                <w:sz w:val="18"/>
              </w:rPr>
              <w:t>Total</w:t>
            </w:r>
          </w:p>
        </w:tc>
      </w:tr>
      <w:tr>
        <w:tc>
          <w:tcPr>
            <w:tcW w:type="dxa" w:w="2480"/>
          </w:tcPr>
          <w:p>
            <w:r>
              <w:rPr>
                <w:rFonts w:ascii="Times New Roman" w:hAnsi="Times New Roman"/>
                <w:sz w:val="18"/>
              </w:rPr>
              <w:t>Per Personality Type</w:t>
            </w:r>
          </w:p>
        </w:tc>
        <w:tc>
          <w:tcPr>
            <w:tcW w:type="dxa" w:w="2480"/>
          </w:tcPr>
          <w:p>
            <w:r>
              <w:rPr>
                <w:rFonts w:ascii="Times New Roman" w:hAnsi="Times New Roman"/>
                <w:sz w:val="18"/>
              </w:rPr>
              <w:t>5 agents</w:t>
            </w:r>
          </w:p>
        </w:tc>
        <w:tc>
          <w:tcPr>
            <w:tcW w:type="dxa" w:w="2480"/>
          </w:tcPr>
          <w:p>
            <w:r>
              <w:rPr>
                <w:rFonts w:ascii="Times New Roman" w:hAnsi="Times New Roman"/>
                <w:sz w:val="18"/>
              </w:rPr>
              <w:t>5 agents</w:t>
            </w:r>
          </w:p>
        </w:tc>
        <w:tc>
          <w:tcPr>
            <w:tcW w:type="dxa" w:w="2480"/>
          </w:tcPr>
          <w:p>
            <w:r>
              <w:rPr>
                <w:rFonts w:ascii="Times New Roman" w:hAnsi="Times New Roman"/>
                <w:sz w:val="18"/>
              </w:rPr>
              <w:t>10 agents</w:t>
            </w:r>
          </w:p>
        </w:tc>
      </w:tr>
      <w:tr>
        <w:tc>
          <w:tcPr>
            <w:tcW w:type="dxa" w:w="2480"/>
          </w:tcPr>
          <w:p>
            <w:r>
              <w:rPr>
                <w:rFonts w:ascii="Times New Roman" w:hAnsi="Times New Roman"/>
                <w:sz w:val="18"/>
              </w:rPr>
              <w:t>Personality Types</w:t>
            </w:r>
          </w:p>
        </w:tc>
        <w:tc>
          <w:tcPr>
            <w:tcW w:type="dxa" w:w="2480"/>
          </w:tcPr>
          <w:p>
            <w:r>
              <w:rPr>
                <w:rFonts w:ascii="Times New Roman" w:hAnsi="Times New Roman"/>
                <w:sz w:val="18"/>
              </w:rPr>
              <w:t>Type A + Type B</w:t>
            </w:r>
          </w:p>
        </w:tc>
        <w:tc>
          <w:tcPr>
            <w:tcW w:type="dxa" w:w="2480"/>
          </w:tcPr>
          <w:p>
            <w:r>
              <w:rPr>
                <w:rFonts w:ascii="Times New Roman" w:hAnsi="Times New Roman"/>
                <w:sz w:val="18"/>
              </w:rPr>
              <w:t>Type A + Type B</w:t>
            </w:r>
          </w:p>
        </w:tc>
        <w:tc>
          <w:tcPr>
            <w:tcW w:type="dxa" w:w="2480"/>
          </w:tcPr>
          <w:p>
            <w:r>
              <w:rPr>
                <w:rFonts w:ascii="Times New Roman" w:hAnsi="Times New Roman"/>
                <w:sz w:val="18"/>
              </w:rPr>
              <w:t>2 types</w:t>
            </w:r>
          </w:p>
        </w:tc>
      </w:tr>
      <w:tr>
        <w:tc>
          <w:tcPr>
            <w:tcW w:type="dxa" w:w="2480"/>
          </w:tcPr>
          <w:p>
            <w:r>
              <w:rPr>
                <w:rFonts w:ascii="Times New Roman" w:hAnsi="Times New Roman"/>
                <w:sz w:val="18"/>
              </w:rPr>
              <w:t>Overall Agent Count</w:t>
            </w:r>
          </w:p>
        </w:tc>
        <w:tc>
          <w:tcPr>
            <w:tcW w:type="dxa" w:w="2480"/>
          </w:tcPr>
          <w:p>
            <w:r>
              <w:rPr>
                <w:rFonts w:ascii="Times New Roman" w:hAnsi="Times New Roman"/>
                <w:sz w:val="18"/>
              </w:rPr>
              <w:t>10 agents</w:t>
            </w:r>
          </w:p>
        </w:tc>
        <w:tc>
          <w:tcPr>
            <w:tcW w:type="dxa" w:w="2480"/>
          </w:tcPr>
          <w:p>
            <w:r>
              <w:rPr>
                <w:rFonts w:ascii="Times New Roman" w:hAnsi="Times New Roman"/>
                <w:sz w:val="18"/>
              </w:rPr>
              <w:t>10 agents</w:t>
            </w:r>
          </w:p>
        </w:tc>
        <w:tc>
          <w:tcPr>
            <w:tcW w:type="dxa" w:w="2480"/>
          </w:tcPr>
          <w:p>
            <w:r>
              <w:rPr>
                <w:rFonts w:ascii="Times New Roman" w:hAnsi="Times New Roman"/>
                <w:sz w:val="18"/>
              </w:rPr>
              <w:t>20 agents</w:t>
            </w:r>
          </w:p>
        </w:tc>
      </w:tr>
      <w:tr>
        <w:tc>
          <w:tcPr>
            <w:tcW w:type="dxa" w:w="2480"/>
          </w:tcPr>
          <w:p>
            <w:r>
              <w:rPr>
                <w:rFonts w:ascii="Times New Roman" w:hAnsi="Times New Roman"/>
                <w:sz w:val="18"/>
              </w:rPr>
              <w:t>Dialogue Turns</w:t>
            </w:r>
          </w:p>
        </w:tc>
        <w:tc>
          <w:tcPr>
            <w:tcW w:type="dxa" w:w="2480"/>
          </w:tcPr>
          <w:p>
            <w:r>
              <w:rPr>
                <w:rFonts w:ascii="Times New Roman" w:hAnsi="Times New Roman"/>
                <w:sz w:val="18"/>
              </w:rPr>
              <w:t>30 turns × 2 = 60</w:t>
            </w:r>
          </w:p>
        </w:tc>
        <w:tc>
          <w:tcPr>
            <w:tcW w:type="dxa" w:w="2480"/>
          </w:tcPr>
          <w:p>
            <w:r>
              <w:rPr>
                <w:rFonts w:ascii="Times New Roman" w:hAnsi="Times New Roman"/>
                <w:sz w:val="18"/>
              </w:rPr>
              <w:t>30 turns × 2 = 60</w:t>
            </w:r>
          </w:p>
        </w:tc>
        <w:tc>
          <w:tcPr>
            <w:tcW w:type="dxa" w:w="2480"/>
          </w:tcPr>
          <w:p>
            <w:r>
              <w:rPr>
                <w:rFonts w:ascii="Times New Roman" w:hAnsi="Times New Roman"/>
                <w:sz w:val="18"/>
              </w:rPr>
              <w:t>120 total</w:t>
            </w:r>
          </w:p>
        </w:tc>
      </w:tr>
      <w:tr>
        <w:tc>
          <w:tcPr>
            <w:tcW w:type="dxa" w:w="2480"/>
          </w:tcPr>
          <w:p>
            <w:r>
              <w:rPr>
                <w:rFonts w:ascii="Times New Roman" w:hAnsi="Times New Roman"/>
                <w:sz w:val="18"/>
              </w:rPr>
              <w:t>Key Feature</w:t>
            </w:r>
          </w:p>
        </w:tc>
        <w:tc>
          <w:tcPr>
            <w:tcW w:type="dxa" w:w="2480"/>
          </w:tcPr>
          <w:p>
            <w:r>
              <w:rPr>
                <w:rFonts w:ascii="Times New Roman" w:hAnsi="Times New Roman"/>
                <w:sz w:val="18"/>
              </w:rPr>
              <w:t>Dynamic detection + regulation per turn</w:t>
            </w:r>
          </w:p>
        </w:tc>
        <w:tc>
          <w:tcPr>
            <w:tcW w:type="dxa" w:w="2480"/>
          </w:tcPr>
          <w:p>
            <w:r>
              <w:rPr>
                <w:rFonts w:ascii="Times New Roman" w:hAnsi="Times New Roman"/>
                <w:sz w:val="18"/>
              </w:rPr>
              <w:t>Static supportive prompts</w:t>
            </w:r>
          </w:p>
        </w:tc>
        <w:tc>
          <w:tcPr>
            <w:tcW w:type="dxa" w:w="2480"/>
          </w:tcPr>
          <w:p>
            <w:r>
              <w:rPr>
                <w:rFonts w:ascii="Times New Roman" w:hAnsi="Times New Roman"/>
                <w:sz w:val="18"/>
              </w:rPr>
              <w:t>Comparative design</w:t>
            </w:r>
          </w:p>
        </w:tc>
      </w:tr>
    </w:tbl>
    <w:p/>
    <w:p>
      <w:r>
        <w:t>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p>
      <w:pPr>
        <w:pStyle w:val="Heading3"/>
      </w:pPr>
      <w:r>
        <w:t>Dialogue Structure and Control</w:t>
      </w:r>
    </w:p>
    <w:p>
      <w:r>
        <w:t>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r>
        <w:t>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r>
        <w:t>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w:t>
      </w:r>
    </w:p>
    <w:p>
      <w:pPr>
        <w:pStyle w:val="Heading3"/>
      </w:pPr>
      <w:r>
        <w:t>Evaluation Framework</w:t>
      </w:r>
    </w:p>
    <w:p>
      <w:r>
        <w:t>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Evaluation Criterion</w:t>
            </w:r>
          </w:p>
        </w:tc>
        <w:tc>
          <w:tcPr>
            <w:tcW w:type="dxa" w:w="2480"/>
          </w:tcPr>
          <w:p>
            <w:r>
              <w:rPr>
                <w:rFonts w:ascii="Times New Roman" w:hAnsi="Times New Roman"/>
                <w:b/>
                <w:sz w:val="18"/>
              </w:rPr>
              <w:t>Regulated Agents</w:t>
            </w:r>
          </w:p>
        </w:tc>
        <w:tc>
          <w:tcPr>
            <w:tcW w:type="dxa" w:w="2480"/>
          </w:tcPr>
          <w:p>
            <w:r>
              <w:rPr>
                <w:rFonts w:ascii="Times New Roman" w:hAnsi="Times New Roman"/>
                <w:b/>
                <w:sz w:val="18"/>
              </w:rPr>
              <w:t>Baseline Agents</w:t>
            </w:r>
          </w:p>
        </w:tc>
        <w:tc>
          <w:tcPr>
            <w:tcW w:type="dxa" w:w="2480"/>
          </w:tcPr>
          <w:p>
            <w:r>
              <w:rPr>
                <w:rFonts w:ascii="Times New Roman" w:hAnsi="Times New Roman"/>
                <w:b/>
                <w:sz w:val="18"/>
              </w:rPr>
              <w:t>Purpose</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Measures whether personality traits are correctly inferred from linguistic patterns</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Measures whether adapted responses align with detected traits and Zurich Model principles</w:t>
            </w:r>
          </w:p>
        </w:tc>
      </w:tr>
      <w:tr>
        <w:tc>
          <w:tcPr>
            <w:tcW w:type="dxa" w:w="2480"/>
          </w:tcPr>
          <w:p>
            <w:r>
              <w:rPr>
                <w:rFonts w:ascii="Times New Roman" w:hAnsi="Times New Roman"/>
                <w:sz w:val="18"/>
              </w:rPr>
              <w:t>Emotional Tone Appropriateness</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Baseline quality metric: appropriate warmth and attunement</w:t>
            </w:r>
          </w:p>
        </w:tc>
      </w:tr>
      <w:tr>
        <w:tc>
          <w:tcPr>
            <w:tcW w:type="dxa" w:w="2480"/>
          </w:tcPr>
          <w:p>
            <w:r>
              <w:rPr>
                <w:rFonts w:ascii="Times New Roman" w:hAnsi="Times New Roman"/>
                <w:sz w:val="18"/>
              </w:rPr>
              <w:t>Relevance &amp; Coherence</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Baseline quality metric: logical continuation and dialogue coherence</w:t>
            </w:r>
          </w:p>
        </w:tc>
      </w:tr>
      <w:tr>
        <w:tc>
          <w:tcPr>
            <w:tcW w:type="dxa" w:w="2480"/>
          </w:tcPr>
          <w:p>
            <w:r>
              <w:rPr>
                <w:rFonts w:ascii="Times New Roman" w:hAnsi="Times New Roman"/>
                <w:sz w:val="18"/>
              </w:rPr>
              <w:t>Personality Needs Addressed</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Personality-specific effectiveness: trait-appropriate support and strategies</w:t>
            </w:r>
          </w:p>
        </w:tc>
      </w:tr>
    </w:tbl>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Score</w:t>
            </w:r>
          </w:p>
        </w:tc>
        <w:tc>
          <w:tcPr>
            <w:tcW w:type="dxa" w:w="3307"/>
          </w:tcPr>
          <w:p>
            <w:r>
              <w:rPr>
                <w:rFonts w:ascii="Times New Roman" w:hAnsi="Times New Roman"/>
                <w:b/>
                <w:sz w:val="18"/>
              </w:rPr>
              <w:t>Rating</w:t>
            </w:r>
          </w:p>
        </w:tc>
        <w:tc>
          <w:tcPr>
            <w:tcW w:type="dxa" w:w="3307"/>
          </w:tcPr>
          <w:p>
            <w:r>
              <w:rPr>
                <w:rFonts w:ascii="Times New Roman" w:hAnsi="Times New Roman"/>
                <w:b/>
                <w:sz w:val="18"/>
              </w:rPr>
              <w:t>Definition</w:t>
            </w:r>
          </w:p>
        </w:tc>
      </w:tr>
      <w:tr>
        <w:tc>
          <w:tcPr>
            <w:tcW w:type="dxa" w:w="3307"/>
          </w:tcPr>
          <w:p>
            <w:r>
              <w:rPr>
                <w:rFonts w:ascii="Times New Roman" w:hAnsi="Times New Roman"/>
                <w:sz w:val="18"/>
              </w:rPr>
              <w:t>2</w:t>
            </w:r>
          </w:p>
        </w:tc>
        <w:tc>
          <w:tcPr>
            <w:tcW w:type="dxa" w:w="3307"/>
          </w:tcPr>
          <w:p>
            <w:r>
              <w:rPr>
                <w:rFonts w:ascii="Times New Roman" w:hAnsi="Times New Roman"/>
                <w:sz w:val="18"/>
              </w:rPr>
              <w:t>Yes</w:t>
            </w:r>
          </w:p>
        </w:tc>
        <w:tc>
          <w:tcPr>
            <w:tcW w:type="dxa" w:w="3307"/>
          </w:tcPr>
          <w:p>
            <w:r>
              <w:rPr>
                <w:rFonts w:ascii="Times New Roman" w:hAnsi="Times New Roman"/>
                <w:sz w:val="18"/>
              </w:rPr>
              <w:t>Strong alignment with evaluation criterion; clear evidence of desired quality</w:t>
            </w:r>
          </w:p>
        </w:tc>
      </w:tr>
      <w:tr>
        <w:tc>
          <w:tcPr>
            <w:tcW w:type="dxa" w:w="3307"/>
          </w:tcPr>
          <w:p>
            <w:r>
              <w:rPr>
                <w:rFonts w:ascii="Times New Roman" w:hAnsi="Times New Roman"/>
                <w:sz w:val="18"/>
              </w:rPr>
              <w:t>1</w:t>
            </w:r>
          </w:p>
        </w:tc>
        <w:tc>
          <w:tcPr>
            <w:tcW w:type="dxa" w:w="3307"/>
          </w:tcPr>
          <w:p>
            <w:r>
              <w:rPr>
                <w:rFonts w:ascii="Times New Roman" w:hAnsi="Times New Roman"/>
                <w:sz w:val="18"/>
              </w:rPr>
              <w:t>Not Sure</w:t>
            </w:r>
          </w:p>
        </w:tc>
        <w:tc>
          <w:tcPr>
            <w:tcW w:type="dxa" w:w="3307"/>
          </w:tcPr>
          <w:p>
            <w:r>
              <w:rPr>
                <w:rFonts w:ascii="Times New Roman" w:hAnsi="Times New Roman"/>
                <w:sz w:val="18"/>
              </w:rPr>
              <w:t>Partial alignment or ambiguous cases; criterion partially met or unclear</w:t>
            </w:r>
          </w:p>
        </w:tc>
      </w:tr>
      <w:tr>
        <w:tc>
          <w:tcPr>
            <w:tcW w:type="dxa" w:w="3307"/>
          </w:tcPr>
          <w:p>
            <w:r>
              <w:rPr>
                <w:rFonts w:ascii="Times New Roman" w:hAnsi="Times New Roman"/>
                <w:sz w:val="18"/>
              </w:rPr>
              <w:t>0</w:t>
            </w:r>
          </w:p>
        </w:tc>
        <w:tc>
          <w:tcPr>
            <w:tcW w:type="dxa" w:w="3307"/>
          </w:tcPr>
          <w:p>
            <w:r>
              <w:rPr>
                <w:rFonts w:ascii="Times New Roman" w:hAnsi="Times New Roman"/>
                <w:sz w:val="18"/>
              </w:rPr>
              <w:t>No</w:t>
            </w:r>
          </w:p>
        </w:tc>
        <w:tc>
          <w:tcPr>
            <w:tcW w:type="dxa" w:w="3307"/>
          </w:tcPr>
          <w:p>
            <w:r>
              <w:rPr>
                <w:rFonts w:ascii="Times New Roman" w:hAnsi="Times New Roman"/>
                <w:sz w:val="18"/>
              </w:rPr>
              <w:t>Clear misalignment with evaluation criterion; criterion not met</w:t>
            </w:r>
          </w:p>
        </w:tc>
      </w:tr>
    </w:tbl>
    <w:p/>
    <w:p>
      <w:pPr>
        <w:pStyle w:val="Heading3"/>
      </w:pPr>
      <w:r>
        <w:t>Human-Expert Validation Protocol</w:t>
      </w:r>
    </w:p>
    <w:p>
      <w:r>
        <w:t>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r>
        <w:rPr>
          <w:b/>
        </w:rPr>
        <w:t>Expert Panel:</w:t>
      </w:r>
      <w:r>
        <w:t xml:space="preserve"> Two PhD-level in-house research experts with complementary expertise independently evaluated dialogue subsets using identical evaluation criteria. Their qualifications and roles are specified below:</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Dimension</w:t>
            </w:r>
          </w:p>
        </w:tc>
        <w:tc>
          <w:tcPr>
            <w:tcW w:type="dxa" w:w="3307"/>
          </w:tcPr>
          <w:p>
            <w:r>
              <w:rPr>
                <w:rFonts w:ascii="Times New Roman" w:hAnsi="Times New Roman"/>
                <w:b/>
                <w:sz w:val="18"/>
              </w:rPr>
              <w:t>Expert 1</w:t>
            </w:r>
          </w:p>
        </w:tc>
        <w:tc>
          <w:tcPr>
            <w:tcW w:type="dxa" w:w="3307"/>
          </w:tcPr>
          <w:p>
            <w:r>
              <w:rPr>
                <w:rFonts w:ascii="Times New Roman" w:hAnsi="Times New Roman"/>
                <w:b/>
                <w:sz w:val="18"/>
              </w:rPr>
              <w:t>Expert 2</w:t>
            </w:r>
          </w:p>
        </w:tc>
      </w:tr>
      <w:tr>
        <w:tc>
          <w:tcPr>
            <w:tcW w:type="dxa" w:w="3307"/>
          </w:tcPr>
          <w:p>
            <w:r>
              <w:rPr>
                <w:rFonts w:ascii="Times New Roman" w:hAnsi="Times New Roman"/>
                <w:sz w:val="18"/>
              </w:rPr>
              <w:t>Degree</w:t>
            </w:r>
          </w:p>
        </w:tc>
        <w:tc>
          <w:tcPr>
            <w:tcW w:type="dxa" w:w="3307"/>
          </w:tcPr>
          <w:p>
            <w:r>
              <w:rPr>
                <w:rFonts w:ascii="Times New Roman" w:hAnsi="Times New Roman"/>
                <w:sz w:val="18"/>
              </w:rPr>
              <w:t>PhD in Clinical Psychology</w:t>
            </w:r>
          </w:p>
        </w:tc>
        <w:tc>
          <w:tcPr>
            <w:tcW w:type="dxa" w:w="3307"/>
          </w:tcPr>
          <w:p>
            <w:r>
              <w:rPr>
                <w:rFonts w:ascii="Times New Roman" w:hAnsi="Times New Roman"/>
                <w:sz w:val="18"/>
              </w:rPr>
              <w:t>PhD in Computer Science</w:t>
            </w:r>
          </w:p>
        </w:tc>
      </w:tr>
      <w:tr>
        <w:tc>
          <w:tcPr>
            <w:tcW w:type="dxa" w:w="3307"/>
          </w:tcPr>
          <w:p>
            <w:r>
              <w:rPr>
                <w:rFonts w:ascii="Times New Roman" w:hAnsi="Times New Roman"/>
                <w:sz w:val="18"/>
              </w:rPr>
              <w:t>Specialization</w:t>
            </w:r>
          </w:p>
        </w:tc>
        <w:tc>
          <w:tcPr>
            <w:tcW w:type="dxa" w:w="3307"/>
          </w:tcPr>
          <w:p>
            <w:r>
              <w:rPr>
                <w:rFonts w:ascii="Times New Roman" w:hAnsi="Times New Roman"/>
                <w:sz w:val="18"/>
              </w:rPr>
              <w:t>Mental Health Interventions</w:t>
            </w:r>
          </w:p>
        </w:tc>
        <w:tc>
          <w:tcPr>
            <w:tcW w:type="dxa" w:w="3307"/>
          </w:tcPr>
          <w:p>
            <w:r>
              <w:rPr>
                <w:rFonts w:ascii="Times New Roman" w:hAnsi="Times New Roman"/>
                <w:sz w:val="18"/>
              </w:rPr>
              <w:t>AI-based Healthcare Systems</w:t>
            </w:r>
          </w:p>
        </w:tc>
      </w:tr>
      <w:tr>
        <w:tc>
          <w:tcPr>
            <w:tcW w:type="dxa" w:w="3307"/>
          </w:tcPr>
          <w:p>
            <w:r>
              <w:rPr>
                <w:rFonts w:ascii="Times New Roman" w:hAnsi="Times New Roman"/>
                <w:sz w:val="18"/>
              </w:rPr>
              <w:t>Years of Experience</w:t>
            </w:r>
          </w:p>
        </w:tc>
        <w:tc>
          <w:tcPr>
            <w:tcW w:type="dxa" w:w="3307"/>
          </w:tcPr>
          <w:p>
            <w:r>
              <w:rPr>
                <w:rFonts w:ascii="Times New Roman" w:hAnsi="Times New Roman"/>
                <w:sz w:val="18"/>
              </w:rPr>
              <w:t>14 years</w:t>
            </w:r>
          </w:p>
        </w:tc>
        <w:tc>
          <w:tcPr>
            <w:tcW w:type="dxa" w:w="3307"/>
          </w:tcPr>
          <w:p>
            <w:r>
              <w:rPr>
                <w:rFonts w:ascii="Times New Roman" w:hAnsi="Times New Roman"/>
                <w:sz w:val="18"/>
              </w:rPr>
              <w:t>10 years</w:t>
            </w:r>
          </w:p>
        </w:tc>
      </w:tr>
      <w:tr>
        <w:tc>
          <w:tcPr>
            <w:tcW w:type="dxa" w:w="3307"/>
          </w:tcPr>
          <w:p>
            <w:r>
              <w:rPr>
                <w:rFonts w:ascii="Times New Roman" w:hAnsi="Times New Roman"/>
                <w:sz w:val="18"/>
              </w:rPr>
              <w:t>Primary Expertise Domain</w:t>
            </w:r>
          </w:p>
        </w:tc>
        <w:tc>
          <w:tcPr>
            <w:tcW w:type="dxa" w:w="3307"/>
          </w:tcPr>
          <w:p>
            <w:r>
              <w:rPr>
                <w:rFonts w:ascii="Times New Roman" w:hAnsi="Times New Roman"/>
                <w:sz w:val="18"/>
              </w:rPr>
              <w:t>Clinical/Psychological assessment</w:t>
            </w:r>
          </w:p>
        </w:tc>
        <w:tc>
          <w:tcPr>
            <w:tcW w:type="dxa" w:w="3307"/>
          </w:tcPr>
          <w:p>
            <w:r>
              <w:rPr>
                <w:rFonts w:ascii="Times New Roman" w:hAnsi="Times New Roman"/>
                <w:sz w:val="18"/>
              </w:rPr>
              <w:t>Technical/AI methodology</w:t>
            </w:r>
          </w:p>
        </w:tc>
      </w:tr>
      <w:tr>
        <w:tc>
          <w:tcPr>
            <w:tcW w:type="dxa" w:w="3307"/>
          </w:tcPr>
          <w:p>
            <w:r>
              <w:rPr>
                <w:rFonts w:ascii="Times New Roman" w:hAnsi="Times New Roman"/>
                <w:sz w:val="18"/>
              </w:rPr>
              <w:t>AI Evaluation Training</w:t>
            </w:r>
          </w:p>
        </w:tc>
        <w:tc>
          <w:tcPr>
            <w:tcW w:type="dxa" w:w="3307"/>
          </w:tcPr>
          <w:p>
            <w:r>
              <w:rPr>
                <w:rFonts w:ascii="Times New Roman" w:hAnsi="Times New Roman"/>
                <w:sz w:val="18"/>
              </w:rPr>
              <w:t>Healthcare AI systems validation</w:t>
            </w:r>
          </w:p>
        </w:tc>
        <w:tc>
          <w:tcPr>
            <w:tcW w:type="dxa" w:w="3307"/>
          </w:tcPr>
          <w:p>
            <w:r>
              <w:rPr>
                <w:rFonts w:ascii="Times New Roman" w:hAnsi="Times New Roman"/>
                <w:sz w:val="18"/>
              </w:rPr>
              <w:t>Algorithmic bias assessment</w:t>
            </w:r>
          </w:p>
        </w:tc>
      </w:tr>
      <w:tr>
        <w:tc>
          <w:tcPr>
            <w:tcW w:type="dxa" w:w="3307"/>
          </w:tcPr>
          <w:p>
            <w:r>
              <w:rPr>
                <w:rFonts w:ascii="Times New Roman" w:hAnsi="Times New Roman"/>
                <w:sz w:val="18"/>
              </w:rPr>
              <w:t>Domain Qualification</w:t>
            </w:r>
          </w:p>
        </w:tc>
        <w:tc>
          <w:tcPr>
            <w:tcW w:type="dxa" w:w="3307"/>
          </w:tcPr>
          <w:p>
            <w:r>
              <w:rPr>
                <w:rFonts w:ascii="Times New Roman" w:hAnsi="Times New Roman"/>
                <w:sz w:val="18"/>
              </w:rPr>
              <w:t>≥3 years evaluating AI-generated mental health content</w:t>
            </w:r>
          </w:p>
        </w:tc>
        <w:tc>
          <w:tcPr>
            <w:tcW w:type="dxa" w:w="3307"/>
          </w:tcPr>
          <w:p>
            <w:r>
              <w:rPr>
                <w:rFonts w:ascii="Times New Roman" w:hAnsi="Times New Roman"/>
                <w:sz w:val="18"/>
              </w:rPr>
              <w:t>≥3 years evaluating AI systems in healthcare</w:t>
            </w:r>
          </w:p>
        </w:tc>
      </w:tr>
    </w:tbl>
    <w:p/>
    <w:p>
      <w:r>
        <w:rPr>
          <w:b/>
        </w:rPr>
        <w:t>Validation Sample Selection:</w:t>
      </w:r>
      <w:r>
        <w:t xml:space="preserve"> 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tbl>
      <w:tblPr>
        <w:tblStyle w:val="LightGrid-Accent1"/>
        <w:tblW w:type="auto" w:w="0"/>
        <w:tblLook w:firstColumn="1" w:firstRow="1" w:lastColumn="0" w:lastRow="0" w:noHBand="0" w:noVBand="1" w:val="04A0"/>
      </w:tblPr>
      <w:tblGrid>
        <w:gridCol w:w="4961"/>
        <w:gridCol w:w="4961"/>
      </w:tblGrid>
      <w:tr>
        <w:tc>
          <w:tcPr>
            <w:tcW w:type="dxa" w:w="4961"/>
          </w:tcPr>
          <w:p>
            <w:r>
              <w:rPr>
                <w:rFonts w:ascii="Times New Roman" w:hAnsi="Times New Roman"/>
                <w:b/>
                <w:sz w:val="18"/>
              </w:rPr>
              <w:t>Stratification Dimension</w:t>
            </w:r>
          </w:p>
        </w:tc>
        <w:tc>
          <w:tcPr>
            <w:tcW w:type="dxa" w:w="4961"/>
          </w:tcPr>
          <w:p>
            <w:r>
              <w:rPr>
                <w:rFonts w:ascii="Times New Roman" w:hAnsi="Times New Roman"/>
                <w:b/>
                <w:sz w:val="18"/>
              </w:rPr>
              <w:t>Details</w:t>
            </w:r>
          </w:p>
        </w:tc>
      </w:tr>
      <w:tr>
        <w:tc>
          <w:tcPr>
            <w:tcW w:type="dxa" w:w="4961"/>
          </w:tcPr>
          <w:p>
            <w:r>
              <w:rPr>
                <w:rFonts w:ascii="Times New Roman" w:hAnsi="Times New Roman"/>
                <w:sz w:val="18"/>
              </w:rPr>
              <w:t>Sample Size</w:t>
            </w:r>
          </w:p>
        </w:tc>
        <w:tc>
          <w:tcPr>
            <w:tcW w:type="dxa" w:w="4961"/>
          </w:tcPr>
          <w:p>
            <w:r>
              <w:rPr>
                <w:rFonts w:ascii="Times New Roman" w:hAnsi="Times New Roman"/>
                <w:sz w:val="18"/>
              </w:rPr>
              <w:t>30 dialogue turns from 120 total (25% validation rate)</w:t>
            </w:r>
          </w:p>
        </w:tc>
      </w:tr>
      <w:tr>
        <w:tc>
          <w:tcPr>
            <w:tcW w:type="dxa" w:w="4961"/>
          </w:tcPr>
          <w:p>
            <w:r>
              <w:rPr>
                <w:rFonts w:ascii="Times New Roman" w:hAnsi="Times New Roman"/>
                <w:sz w:val="18"/>
              </w:rPr>
              <w:t>Condition Balance</w:t>
            </w:r>
          </w:p>
        </w:tc>
        <w:tc>
          <w:tcPr>
            <w:tcW w:type="dxa" w:w="4961"/>
          </w:tcPr>
          <w:p>
            <w:r>
              <w:rPr>
                <w:rFonts w:ascii="Times New Roman" w:hAnsi="Times New Roman"/>
                <w:sz w:val="18"/>
              </w:rPr>
              <w:t>15 regulated, 15 baseline</w:t>
            </w:r>
          </w:p>
        </w:tc>
      </w:tr>
      <w:tr>
        <w:tc>
          <w:tcPr>
            <w:tcW w:type="dxa" w:w="4961"/>
          </w:tcPr>
          <w:p>
            <w:r>
              <w:rPr>
                <w:rFonts w:ascii="Times New Roman" w:hAnsi="Times New Roman"/>
                <w:sz w:val="18"/>
              </w:rPr>
              <w:t>Personality Type</w:t>
            </w:r>
          </w:p>
        </w:tc>
        <w:tc>
          <w:tcPr>
            <w:tcW w:type="dxa" w:w="4961"/>
          </w:tcPr>
          <w:p>
            <w:r>
              <w:rPr>
                <w:rFonts w:ascii="Times New Roman" w:hAnsi="Times New Roman"/>
                <w:sz w:val="18"/>
              </w:rPr>
              <w:t>15 Type A, 15 Type B</w:t>
            </w:r>
          </w:p>
        </w:tc>
      </w:tr>
      <w:tr>
        <w:tc>
          <w:tcPr>
            <w:tcW w:type="dxa" w:w="4961"/>
          </w:tcPr>
          <w:p>
            <w:r>
              <w:rPr>
                <w:rFonts w:ascii="Times New Roman" w:hAnsi="Times New Roman"/>
                <w:sz w:val="18"/>
              </w:rPr>
              <w:t>Turn Sequence</w:t>
            </w:r>
          </w:p>
        </w:tc>
        <w:tc>
          <w:tcPr>
            <w:tcW w:type="dxa" w:w="4961"/>
          </w:tcPr>
          <w:p>
            <w:r>
              <w:rPr>
                <w:rFonts w:ascii="Times New Roman" w:hAnsi="Times New Roman"/>
                <w:sz w:val="18"/>
              </w:rPr>
              <w:t>10 early (turns 1-2), 10 mid (turns 3-4), 10 late (turns 5-6)</w:t>
            </w:r>
          </w:p>
        </w:tc>
      </w:tr>
      <w:tr>
        <w:tc>
          <w:tcPr>
            <w:tcW w:type="dxa" w:w="4961"/>
          </w:tcPr>
          <w:p>
            <w:r>
              <w:rPr>
                <w:rFonts w:ascii="Times New Roman" w:hAnsi="Times New Roman"/>
                <w:sz w:val="18"/>
              </w:rPr>
              <w:t>Sampling Procedure</w:t>
            </w:r>
          </w:p>
        </w:tc>
        <w:tc>
          <w:tcPr>
            <w:tcW w:type="dxa" w:w="4961"/>
          </w:tcPr>
          <w:p>
            <w:r>
              <w:rPr>
                <w:rFonts w:ascii="Times New Roman" w:hAnsi="Times New Roman"/>
                <w:sz w:val="18"/>
              </w:rPr>
              <w:t>Stratified random sampling with random number generation under stratification constraints</w:t>
            </w:r>
          </w:p>
        </w:tc>
      </w:tr>
    </w:tbl>
    <w:p/>
    <w:p>
      <w:r>
        <w:rPr>
          <w:b/>
        </w:rPr>
        <w:t>Identical Evaluation Matrix:</w:t>
      </w:r>
      <w:r>
        <w:t xml:space="preserve"> 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r>
        <w:rPr>
          <w:b/>
        </w:rPr>
        <w:t>Rigorous Blinding Protocol:</w:t>
      </w:r>
      <w:r>
        <w:t xml:space="preserve"> 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p>
      <w:pPr>
        <w:pStyle w:val="Heading3"/>
      </w:pPr>
      <w:r>
        <w:t>Validation Results</w:t>
      </w:r>
    </w:p>
    <w:p>
      <w:r>
        <w:t>The human-expert validation study produced three critical findings:</w:t>
      </w:r>
    </w:p>
    <w:p>
      <w:r>
        <w:rPr>
          <w:b/>
        </w:rPr>
        <w:t>Reliability Summary:</w:t>
      </w:r>
      <w:r>
        <w:t xml:space="preserve"> 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Reliability Metric</w:t>
            </w:r>
          </w:p>
        </w:tc>
        <w:tc>
          <w:tcPr>
            <w:tcW w:type="dxa" w:w="1984"/>
          </w:tcPr>
          <w:p>
            <w:r>
              <w:rPr>
                <w:rFonts w:ascii="Times New Roman" w:hAnsi="Times New Roman"/>
                <w:b/>
                <w:sz w:val="18"/>
              </w:rPr>
              <w:t>Result</w:t>
            </w:r>
          </w:p>
        </w:tc>
        <w:tc>
          <w:tcPr>
            <w:tcW w:type="dxa" w:w="1984"/>
          </w:tcPr>
          <w:p>
            <w:r>
              <w:rPr>
                <w:rFonts w:ascii="Times New Roman" w:hAnsi="Times New Roman"/>
                <w:b/>
                <w:sz w:val="18"/>
              </w:rPr>
              <w:t>Interpretation</w:t>
            </w:r>
          </w:p>
        </w:tc>
        <w:tc>
          <w:tcPr>
            <w:tcW w:type="dxa" w:w="1984"/>
          </w:tcPr>
          <w:p>
            <w:r>
              <w:rPr>
                <w:rFonts w:ascii="Times New Roman" w:hAnsi="Times New Roman"/>
                <w:b/>
                <w:sz w:val="18"/>
              </w:rPr>
              <w:t>Threshold</w:t>
            </w:r>
          </w:p>
        </w:tc>
        <w:tc>
          <w:tcPr>
            <w:tcW w:type="dxa" w:w="1984"/>
          </w:tcPr>
          <w:p>
            <w:r>
              <w:rPr>
                <w:rFonts w:ascii="Times New Roman" w:hAnsi="Times New Roman"/>
                <w:b/>
                <w:sz w:val="18"/>
              </w:rPr>
              <w:t>Status</w:t>
            </w:r>
          </w:p>
        </w:tc>
      </w:tr>
      <w:tr>
        <w:tc>
          <w:tcPr>
            <w:tcW w:type="dxa" w:w="1984"/>
          </w:tcPr>
          <w:p>
            <w:r>
              <w:rPr>
                <w:rFonts w:ascii="Times New Roman" w:hAnsi="Times New Roman"/>
                <w:sz w:val="18"/>
              </w:rPr>
              <w:t>Human-to-Human Agreement</w:t>
            </w:r>
          </w:p>
        </w:tc>
        <w:tc>
          <w:tcPr>
            <w:tcW w:type="dxa" w:w="1984"/>
          </w:tcPr>
          <w:p>
            <w:r>
              <w:rPr>
                <w:rFonts w:ascii="Times New Roman" w:hAnsi="Times New Roman"/>
                <w:sz w:val="18"/>
              </w:rPr>
              <w:t>α = 0.82 (95% CI: 0.76-0.88)</w:t>
            </w:r>
          </w:p>
        </w:tc>
        <w:tc>
          <w:tcPr>
            <w:tcW w:type="dxa" w:w="1984"/>
          </w:tcPr>
          <w:p>
            <w:r>
              <w:rPr>
                <w:rFonts w:ascii="Times New Roman" w:hAnsi="Times New Roman"/>
                <w:sz w:val="18"/>
              </w:rPr>
              <w:t>Strong reliability</w:t>
            </w:r>
          </w:p>
        </w:tc>
        <w:tc>
          <w:tcPr>
            <w:tcW w:type="dxa" w:w="1984"/>
          </w:tcPr>
          <w:p>
            <w:r>
              <w:rPr>
                <w:rFonts w:ascii="Times New Roman" w:hAnsi="Times New Roman"/>
                <w:sz w:val="18"/>
              </w:rPr>
              <w:t>α &gt; 0.80</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AI-to-Human Alignment</w:t>
            </w:r>
          </w:p>
        </w:tc>
        <w:tc>
          <w:tcPr>
            <w:tcW w:type="dxa" w:w="1984"/>
          </w:tcPr>
          <w:p>
            <w:r>
              <w:rPr>
                <w:rFonts w:ascii="Times New Roman" w:hAnsi="Times New Roman"/>
                <w:sz w:val="18"/>
              </w:rPr>
              <w:t>κ = 0.89 (95% CI: 0.84-0.94)</w:t>
            </w:r>
          </w:p>
        </w:tc>
        <w:tc>
          <w:tcPr>
            <w:tcW w:type="dxa" w:w="1984"/>
          </w:tcPr>
          <w:p>
            <w:r>
              <w:rPr>
                <w:rFonts w:ascii="Times New Roman" w:hAnsi="Times New Roman"/>
                <w:sz w:val="18"/>
              </w:rPr>
              <w:t>Excellent agreement</w:t>
            </w:r>
          </w:p>
        </w:tc>
        <w:tc>
          <w:tcPr>
            <w:tcW w:type="dxa" w:w="1984"/>
          </w:tcPr>
          <w:p>
            <w:r>
              <w:rPr>
                <w:rFonts w:ascii="Times New Roman" w:hAnsi="Times New Roman"/>
                <w:sz w:val="18"/>
              </w:rPr>
              <w:t>κ &gt; 0.80</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Detection Accuracy</w:t>
            </w:r>
          </w:p>
        </w:tc>
        <w:tc>
          <w:tcPr>
            <w:tcW w:type="dxa" w:w="1984"/>
          </w:tcPr>
          <w:p>
            <w:r>
              <w:rPr>
                <w:rFonts w:ascii="Times New Roman" w:hAnsi="Times New Roman"/>
                <w:sz w:val="18"/>
              </w:rPr>
              <w:t>κ = 0.92</w:t>
            </w:r>
          </w:p>
        </w:tc>
        <w:tc>
          <w:tcPr>
            <w:tcW w:type="dxa" w:w="1984"/>
          </w:tcPr>
          <w:p>
            <w:r>
              <w:rPr>
                <w:rFonts w:ascii="Times New Roman" w:hAnsi="Times New Roman"/>
                <w:sz w:val="18"/>
              </w:rPr>
              <w:t>Near-perfect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Regulation Effectiveness</w:t>
            </w:r>
          </w:p>
        </w:tc>
        <w:tc>
          <w:tcPr>
            <w:tcW w:type="dxa" w:w="1984"/>
          </w:tcPr>
          <w:p>
            <w:r>
              <w:rPr>
                <w:rFonts w:ascii="Times New Roman" w:hAnsi="Times New Roman"/>
                <w:sz w:val="18"/>
              </w:rPr>
              <w:t>κ = 0.88</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κ = 0.86</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κ = 0.91</w:t>
            </w:r>
          </w:p>
        </w:tc>
        <w:tc>
          <w:tcPr>
            <w:tcW w:type="dxa" w:w="1984"/>
          </w:tcPr>
          <w:p>
            <w:r>
              <w:rPr>
                <w:rFonts w:ascii="Times New Roman" w:hAnsi="Times New Roman"/>
                <w:sz w:val="18"/>
              </w:rPr>
              <w:t>Near-perfect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κ = 0.87</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bl>
    <w:p/>
    <w:p>
      <w:r>
        <w:t>AI-to-human agreement quantified using Cohen's Kappa yielded κ = 0.89 (95% CI: 0.84-0.94)—excellent agreement well exceeding the κ &gt; 0.80 threshold. Consensus human ratings were calculated using majority voting (≥2 experts agreeing = consensus rating). Criterion-specific analysis revealed consistent agreement across all metrics (κ = 0.86-0.92), indicating no metric-specific bias where the evaluator might favor particular evaluation dimensions. This across-the-board agreement demonstrates that Evaluator GPT's assessments align with independent expert judgment and that observed performance differences reflect genuine quality distinctions detectable by human experts, not simply AI-rating-AI favorability bias.</w:t>
      </w:r>
    </w:p>
    <w:p>
      <w:r>
        <w:rPr>
          <w:b/>
        </w:rPr>
        <w:t>Validation Interpretation:</w:t>
      </w:r>
      <w:r>
        <w:t xml:space="preserve"> Three conclusions emerge from the validation protocol:</w:t>
      </w:r>
    </w:p>
    <w:p>
      <w:r>
        <w:t xml:space="preserve">1. </w:t>
      </w:r>
      <w:r>
        <w:rPr>
          <w:b/>
        </w:rPr>
        <w:t>Evaluation Matrix Validity:</w:t>
      </w:r>
      <w:r>
        <w:t xml:space="preserve"> Strong human inter-rater reliability (α = 0.82) validates that the five evaluation criteria are sound, interpretable, and consistently applied by trained experts, establishing the assessment framework as reliable independent of the AI evaluator.</w:t>
      </w:r>
    </w:p>
    <w:p>
      <w:r>
        <w:t xml:space="preserve">2. </w:t>
      </w:r>
      <w:r>
        <w:rPr>
          <w:b/>
        </w:rPr>
        <w:t>Evaluator GPT Reliability:</w:t>
      </w:r>
      <w:r>
        <w:t xml:space="preserve"> Excellent AI-to-human agreement (κ = 0.89) demonstrates that the Evaluator GPT produces assessments aligned with independent expert judgment, with criterion-specific agreement (κ = 0.86-0.92) confirming no metric-specific bias.</w:t>
      </w:r>
    </w:p>
    <w:p>
      <w:r>
        <w:t xml:space="preserve">3. </w:t>
      </w:r>
      <w:r>
        <w:rPr>
          <w:b/>
        </w:rPr>
        <w:t>Mitigation of Circular Validation:</w:t>
      </w:r>
      <w:r>
        <w:t xml:space="preserve"> This validation protocol directly addresses the "AI-evaluating-AI" 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w:t>
      </w:r>
    </w:p>
    <w:p>
      <w:r>
        <w:rPr>
          <w:b/>
        </w:rPr>
        <w:t>Limitations of Validation:</w:t>
      </w:r>
      <w:r>
        <w:t xml:space="preserve"> Important caveats qualify these strong results: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Limitation</w:t>
            </w:r>
          </w:p>
        </w:tc>
        <w:tc>
          <w:tcPr>
            <w:tcW w:type="dxa" w:w="2480"/>
          </w:tcPr>
          <w:p>
            <w:r>
              <w:rPr>
                <w:rFonts w:ascii="Times New Roman" w:hAnsi="Times New Roman"/>
                <w:b/>
                <w:sz w:val="18"/>
              </w:rPr>
              <w:t>Scope</w:t>
            </w:r>
          </w:p>
        </w:tc>
        <w:tc>
          <w:tcPr>
            <w:tcW w:type="dxa" w:w="2480"/>
          </w:tcPr>
          <w:p>
            <w:r>
              <w:rPr>
                <w:rFonts w:ascii="Times New Roman" w:hAnsi="Times New Roman"/>
                <w:b/>
                <w:sz w:val="18"/>
              </w:rPr>
              <w:t>Impact</w:t>
            </w:r>
          </w:p>
        </w:tc>
        <w:tc>
          <w:tcPr>
            <w:tcW w:type="dxa" w:w="2480"/>
          </w:tcPr>
          <w:p>
            <w:r>
              <w:rPr>
                <w:rFonts w:ascii="Times New Roman" w:hAnsi="Times New Roman"/>
                <w:b/>
                <w:sz w:val="18"/>
              </w:rPr>
              <w:t>Mitigation</w:t>
            </w:r>
          </w:p>
        </w:tc>
      </w:tr>
      <w:tr>
        <w:tc>
          <w:tcPr>
            <w:tcW w:type="dxa" w:w="2480"/>
          </w:tcPr>
          <w:p>
            <w:r>
              <w:rPr>
                <w:rFonts w:ascii="Times New Roman" w:hAnsi="Times New Roman"/>
                <w:sz w:val="18"/>
              </w:rPr>
              <w:t>Partial Sample Coverage (25%)</w:t>
            </w:r>
          </w:p>
        </w:tc>
        <w:tc>
          <w:tcPr>
            <w:tcW w:type="dxa" w:w="2480"/>
          </w:tcPr>
          <w:p>
            <w:r>
              <w:rPr>
                <w:rFonts w:ascii="Times New Roman" w:hAnsi="Times New Roman"/>
                <w:sz w:val="18"/>
              </w:rPr>
              <w:t>90 turns unverified</w:t>
            </w:r>
          </w:p>
        </w:tc>
        <w:tc>
          <w:tcPr>
            <w:tcW w:type="dxa" w:w="2480"/>
          </w:tcPr>
          <w:p>
            <w:r>
              <w:rPr>
                <w:rFonts w:ascii="Times New Roman" w:hAnsi="Times New Roman"/>
                <w:sz w:val="18"/>
              </w:rPr>
              <w:t>Potential unmapped biases in 75% of data</w:t>
            </w:r>
          </w:p>
        </w:tc>
        <w:tc>
          <w:tcPr>
            <w:tcW w:type="dxa" w:w="2480"/>
          </w:tcPr>
          <w:p>
            <w:r>
              <w:rPr>
                <w:rFonts w:ascii="Times New Roman" w:hAnsi="Times New Roman"/>
                <w:sz w:val="18"/>
              </w:rPr>
              <w:t>Stratified sampling reduces systematic bias risk; validation extends to all evaluation dimensions</w:t>
            </w:r>
          </w:p>
        </w:tc>
      </w:tr>
      <w:tr>
        <w:tc>
          <w:tcPr>
            <w:tcW w:type="dxa" w:w="2480"/>
          </w:tcPr>
          <w:p>
            <w:r>
              <w:rPr>
                <w:rFonts w:ascii="Times New Roman" w:hAnsi="Times New Roman"/>
                <w:sz w:val="18"/>
              </w:rPr>
              <w:t>Shared Foundation Model</w:t>
            </w:r>
          </w:p>
        </w:tc>
        <w:tc>
          <w:tcPr>
            <w:tcW w:type="dxa" w:w="2480"/>
          </w:tcPr>
          <w:p>
            <w:r>
              <w:rPr>
                <w:rFonts w:ascii="Times New Roman" w:hAnsi="Times New Roman"/>
                <w:sz w:val="18"/>
              </w:rPr>
              <w:t>Both use GPT-4</w:t>
            </w:r>
          </w:p>
        </w:tc>
        <w:tc>
          <w:tcPr>
            <w:tcW w:type="dxa" w:w="2480"/>
          </w:tcPr>
          <w:p>
            <w:r>
              <w:rPr>
                <w:rFonts w:ascii="Times New Roman" w:hAnsi="Times New Roman"/>
                <w:sz w:val="18"/>
              </w:rPr>
              <w:t>Possible inflated agreement from semantic similarity</w:t>
            </w:r>
          </w:p>
        </w:tc>
        <w:tc>
          <w:tcPr>
            <w:tcW w:type="dxa" w:w="2480"/>
          </w:tcPr>
          <w:p>
            <w:r>
              <w:rPr>
                <w:rFonts w:ascii="Times New Roman" w:hAnsi="Times New Roman"/>
                <w:sz w:val="18"/>
              </w:rPr>
              <w:t>Human validation confirms genuine differences; criterion-specific analysis shows no bias pattern</w:t>
            </w:r>
          </w:p>
        </w:tc>
      </w:tr>
      <w:tr>
        <w:tc>
          <w:tcPr>
            <w:tcW w:type="dxa" w:w="2480"/>
          </w:tcPr>
          <w:p>
            <w:r>
              <w:rPr>
                <w:rFonts w:ascii="Times New Roman" w:hAnsi="Times New Roman"/>
                <w:sz w:val="18"/>
              </w:rPr>
              <w:t>Simulated Context Only</w:t>
            </w:r>
          </w:p>
        </w:tc>
        <w:tc>
          <w:tcPr>
            <w:tcW w:type="dxa" w:w="2480"/>
          </w:tcPr>
          <w:p>
            <w:r>
              <w:rPr>
                <w:rFonts w:ascii="Times New Roman" w:hAnsi="Times New Roman"/>
                <w:sz w:val="18"/>
              </w:rPr>
              <w:t>No spontaneous real-world dialogue</w:t>
            </w:r>
          </w:p>
        </w:tc>
        <w:tc>
          <w:tcPr>
            <w:tcW w:type="dxa" w:w="2480"/>
          </w:tcPr>
          <w:p>
            <w:r>
              <w:rPr>
                <w:rFonts w:ascii="Times New Roman" w:hAnsi="Times New Roman"/>
                <w:sz w:val="18"/>
              </w:rPr>
              <w:t>Validation sample may not represent authentic user interactions</w:t>
            </w:r>
          </w:p>
        </w:tc>
        <w:tc>
          <w:tcPr>
            <w:tcW w:type="dxa" w:w="2480"/>
          </w:tcPr>
          <w:p>
            <w:r>
              <w:rPr>
                <w:rFonts w:ascii="Times New Roman" w:hAnsi="Times New Roman"/>
                <w:sz w:val="18"/>
              </w:rPr>
              <w:t>Proof-of-concept design justified for early-stage research; future work extends to human subjects</w:t>
            </w:r>
          </w:p>
        </w:tc>
      </w:tr>
    </w:tbl>
    <w:p/>
    <w:p>
      <w:r>
        <w:rPr>
          <w:b/>
        </w:rPr>
        <w:t>Decision Rationale:</w:t>
      </w:r>
      <w:r>
        <w:t xml:space="preserve"> 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w:t>
      </w:r>
    </w:p>
    <w:p>
      <w:pPr>
        <w:pStyle w:val="Heading3"/>
      </w:pPr>
      <w:r>
        <w:t>Study Design Diagram</w:t>
      </w:r>
    </w:p>
    <w:p>
      <w:r>
        <w:rPr>
          <w:rFonts w:ascii="Courier New" w:hAnsi="Courier New"/>
          <w:sz w:val="20"/>
        </w:rPr>
      </w:r>
      <w:r>
        <w:rPr>
          <w:rFonts w:ascii="Courier New" w:hAnsi="Courier New"/>
          <w:sz w:val="20"/>
        </w:rPr>
      </w:r>
    </w:p>
    <w:p>
      <w:r>
        <w:t>┌──────────────────────────┐</w:t>
      </w:r>
    </w:p>
    <w:p>
      <w:r>
        <w:t>│   20 Agent Instances     │</w:t>
      </w:r>
    </w:p>
    <w:p>
      <w:r>
        <w:t>│   (10 per personality)   │</w:t>
      </w:r>
    </w:p>
    <w:p>
      <w:r>
        <w:t>└────────────┬─────────────┘</w:t>
      </w:r>
    </w:p>
    <w:p>
      <w:r>
        <w:t>│</w:t>
      </w:r>
    </w:p>
    <w:p>
      <w:r>
        <w:t>┌────────┴────────┐</w:t>
      </w:r>
    </w:p>
    <w:p>
      <w:r>
        <w:t>│                 │</w:t>
      </w:r>
    </w:p>
    <w:p>
      <w:r>
        <w:t>┌────▼───┐        ┌───▼────┐</w:t>
      </w:r>
    </w:p>
    <w:p>
      <w:r>
        <w:t>│ Type A  │        │ Type B  │</w:t>
      </w:r>
    </w:p>
    <w:p>
      <w:r>
        <w:t>│ (5 R:5 B)        │ (5 R:5 B)</w:t>
      </w:r>
    </w:p>
    <w:p>
      <w:r>
        <w:t>└────┬───┘        └───┬────┘</w:t>
      </w:r>
    </w:p>
    <w:p>
      <w:r>
        <w:t>│                 │</w:t>
      </w:r>
    </w:p>
    <w:p>
      <w:r>
        <w:t>┌───┴─────────────────┴──┐</w:t>
      </w:r>
    </w:p>
    <w:p>
      <w:r>
        <w:t>│  120 Total Dialogues   │</w:t>
      </w:r>
    </w:p>
    <w:p>
      <w:r>
        <w:t>│  (6 turns each)        │</w:t>
      </w:r>
    </w:p>
    <w:p>
      <w:r>
        <w:t>└───┬──────────────────┬─┘</w:t>
      </w:r>
    </w:p>
    <w:p>
      <w:r>
        <w:t>│                  │</w:t>
      </w:r>
    </w:p>
    <w:p>
      <w:r>
        <w:t>┌────▼──┐         ┌─────▼────┐</w:t>
      </w:r>
    </w:p>
    <w:p>
      <w:r>
        <w:t>│ AI    │         │  Human   │</w:t>
      </w:r>
    </w:p>
    <w:p>
      <w:r>
        <w:t>│ Eval  │         │  Experts │</w:t>
      </w:r>
    </w:p>
    <w:p>
      <w:r>
        <w:t>│(120)  │         │ (30 @25%)│</w:t>
      </w:r>
    </w:p>
    <w:p>
      <w:r>
        <w:t>└────┬──┘         └─────┬────┘</w:t>
      </w:r>
    </w:p>
    <w:p>
      <w:r>
        <w:t>│                  │</w:t>
      </w:r>
    </w:p>
    <w:p>
      <w:r>
        <w:t>┌───┴──────────────────┴──┐</w:t>
      </w:r>
    </w:p>
    <w:p>
      <w:r>
        <w:t>│  Reliability Analysis    │</w:t>
      </w:r>
    </w:p>
    <w:p>
      <w:r>
        <w:t>│  α=0.82, κ=0.89         │</w:t>
      </w:r>
    </w:p>
    <w:p>
      <w:r>
        <w:t>│  All metrics excellent  │</w:t>
      </w:r>
    </w:p>
    <w:p>
      <w:r>
        <w:t>└────────────────────────┘</w:t>
      </w:r>
    </w:p>
    <w:p>
      <w:r>
        <w:rPr>
          <w:rFonts w:ascii="Courier New" w:hAnsi="Courier New"/>
          <w:sz w:val="20"/>
        </w:rPr>
      </w:r>
      <w:r>
        <w:rPr>
          <w:rFonts w:ascii="Courier New" w:hAnsi="Courier New"/>
          <w:sz w:val="20"/>
        </w:rPr>
      </w:r>
    </w:p>
    <w:p>
      <w:pPr>
        <w:pStyle w:val="Heading3"/>
      </w:pPr>
      <w:r>
        <w:t>Conclusion of Experimental Protocol</w:t>
      </w:r>
    </w:p>
    <w:p>
      <w:r>
        <w:t>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Results</w:t>
      </w:r>
    </w:p>
    <w:p>
      <w:pPr>
        <w:pStyle w:val="Heading2"/>
      </w:pPr>
      <w:r>
        <w:t>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jc w:val="center"/>
      </w:pPr>
      <w:r>
        <w:drawing>
          <wp:inline xmlns:a="http://schemas.openxmlformats.org/drawingml/2006/main" xmlns:pic="http://schemas.openxmlformats.org/drawingml/2006/picture">
            <wp:extent cx="5486400" cy="1925376"/>
            <wp:docPr id="1" name="Picture 1"/>
            <wp:cNvGraphicFramePr>
              <a:graphicFrameLocks noChangeAspect="1"/>
            </wp:cNvGraphicFramePr>
            <a:graphic>
              <a:graphicData uri="http://schemas.openxmlformats.org/drawingml/2006/picture">
                <pic:pic>
                  <pic:nvPicPr>
                    <pic:cNvPr id="0" name="01_sample_distribution.png"/>
                    <pic:cNvPicPr/>
                  </pic:nvPicPr>
                  <pic:blipFill>
                    <a:blip r:embed="rId9"/>
                    <a:stretch>
                      <a:fillRect/>
                    </a:stretch>
                  </pic:blipFill>
                  <pic:spPr>
                    <a:xfrm>
                      <a:off x="0" y="0"/>
                      <a:ext cx="5486400" cy="1925376"/>
                    </a:xfrm>
                    <a:prstGeom prst="rect"/>
                  </pic:spPr>
                </pic:pic>
              </a:graphicData>
            </a:graphic>
          </wp:inline>
        </w:drawing>
      </w:r>
    </w:p>
    <w:p>
      <w:r>
        <w:t>Data quality assessment revealed minimal missing data (&lt;2%) across all evaluation metrics, with no systematic patterns of missingness by condition or personality type (Figure 2).</w:t>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jc w:val="center"/>
      </w:pPr>
      <w:r>
        <w:drawing>
          <wp:inline xmlns:a="http://schemas.openxmlformats.org/drawingml/2006/main" xmlns:pic="http://schemas.openxmlformats.org/drawingml/2006/picture">
            <wp:extent cx="5486400" cy="2349984"/>
            <wp:docPr id="2" name="Picture 2"/>
            <wp:cNvGraphicFramePr>
              <a:graphicFrameLocks noChangeAspect="1"/>
            </wp:cNvGraphicFramePr>
            <a:graphic>
              <a:graphicData uri="http://schemas.openxmlformats.org/drawingml/2006/picture">
                <pic:pic>
                  <pic:nvPicPr>
                    <pic:cNvPr id="0" name="02_missing_data_heatmap.png"/>
                    <pic:cNvPicPr/>
                  </pic:nvPicPr>
                  <pic:blipFill>
                    <a:blip r:embed="rId10"/>
                    <a:stretch>
                      <a:fillRect/>
                    </a:stretch>
                  </pic:blipFill>
                  <pic:spPr>
                    <a:xfrm>
                      <a:off x="0" y="0"/>
                      <a:ext cx="5486400" cy="2349984"/>
                    </a:xfrm>
                    <a:prstGeom prst="rect"/>
                  </pic:spPr>
                </pic:pic>
              </a:graphicData>
            </a:graphic>
          </wp:inline>
        </w:drawing>
      </w:r>
    </w:p>
    <w:p>
      <w:pPr>
        <w:pStyle w:val="Heading2"/>
      </w:pPr>
      <w:r>
        <w:t>Detection and Regulation Performance</w:t>
      </w:r>
    </w:p>
    <w:p>
      <w:r>
        <w:t>Regulated agents achieved near-perfect performance on the core technical requirements of personality detection and regulation implementation.</w:t>
      </w:r>
    </w:p>
    <w:p>
      <w:r>
        <w:rPr>
          <w:b/>
        </w:rPr>
        <w:t>Detection and Regulation Performance Summary</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Metric</w:t>
            </w:r>
          </w:p>
        </w:tc>
        <w:tc>
          <w:tcPr>
            <w:tcW w:type="dxa" w:w="2480"/>
          </w:tcPr>
          <w:p>
            <w:r>
              <w:rPr>
                <w:rFonts w:ascii="Times New Roman" w:hAnsi="Times New Roman"/>
                <w:b/>
                <w:sz w:val="18"/>
              </w:rPr>
              <w:t>Success Rate</w:t>
            </w:r>
          </w:p>
        </w:tc>
        <w:tc>
          <w:tcPr>
            <w:tcW w:type="dxa" w:w="2480"/>
          </w:tcPr>
          <w:p>
            <w:r>
              <w:rPr>
                <w:rFonts w:ascii="Times New Roman" w:hAnsi="Times New Roman"/>
                <w:b/>
                <w:sz w:val="18"/>
              </w:rPr>
              <w:t>n (Total)</w:t>
            </w:r>
          </w:p>
        </w:tc>
        <w:tc>
          <w:tcPr>
            <w:tcW w:type="dxa" w:w="2480"/>
          </w:tcPr>
          <w:p>
            <w:r>
              <w:rPr>
                <w:rFonts w:ascii="Times New Roman" w:hAnsi="Times New Roman"/>
                <w:b/>
                <w:sz w:val="18"/>
              </w:rPr>
              <w:t>95% CI</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100.00%</w:t>
            </w:r>
          </w:p>
        </w:tc>
        <w:tc>
          <w:tcPr>
            <w:tcW w:type="dxa" w:w="2480"/>
          </w:tcPr>
          <w:p>
            <w:r>
              <w:rPr>
                <w:rFonts w:ascii="Times New Roman" w:hAnsi="Times New Roman"/>
                <w:sz w:val="18"/>
              </w:rPr>
              <w:t>58/58</w:t>
            </w:r>
          </w:p>
        </w:tc>
        <w:tc>
          <w:tcPr>
            <w:tcW w:type="dxa" w:w="2480"/>
          </w:tcPr>
          <w:p>
            <w:r>
              <w:rPr>
                <w:rFonts w:ascii="Times New Roman" w:hAnsi="Times New Roman"/>
                <w:sz w:val="18"/>
              </w:rPr>
              <w:t>[93.8%, 100%]</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100.00%</w:t>
            </w:r>
          </w:p>
        </w:tc>
        <w:tc>
          <w:tcPr>
            <w:tcW w:type="dxa" w:w="2480"/>
          </w:tcPr>
          <w:p>
            <w:r>
              <w:rPr>
                <w:rFonts w:ascii="Times New Roman" w:hAnsi="Times New Roman"/>
                <w:sz w:val="18"/>
              </w:rPr>
              <w:t>59/59</w:t>
            </w:r>
          </w:p>
        </w:tc>
        <w:tc>
          <w:tcPr>
            <w:tcW w:type="dxa" w:w="2480"/>
          </w:tcPr>
          <w:p>
            <w:r>
              <w:rPr>
                <w:rFonts w:ascii="Times New Roman" w:hAnsi="Times New Roman"/>
                <w:sz w:val="18"/>
              </w:rPr>
              <w:t>[93.9%, 100%]</w:t>
            </w:r>
          </w:p>
        </w:tc>
      </w:tr>
    </w:tbl>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Heading2"/>
      </w:pPr>
      <w:r>
        <w:t>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Statistical Comparison of Regulated vs. Baseline Agents Across Evaluation Metrics</w:t>
      </w:r>
    </w:p>
    <w:tbl>
      <w:tblPr>
        <w:tblStyle w:val="LightGrid-Accent1"/>
        <w:tblW w:type="auto" w:w="0"/>
        <w:tblLook w:firstColumn="1" w:firstRow="1" w:lastColumn="0" w:lastRow="0" w:noHBand="0" w:noVBand="1" w:val="04A0"/>
      </w:tblPr>
      <w:tblGrid>
        <w:gridCol w:w="1240"/>
        <w:gridCol w:w="1240"/>
        <w:gridCol w:w="1240"/>
        <w:gridCol w:w="1240"/>
        <w:gridCol w:w="1240"/>
        <w:gridCol w:w="1240"/>
        <w:gridCol w:w="1240"/>
        <w:gridCol w:w="1240"/>
      </w:tblGrid>
      <w:tr>
        <w:tc>
          <w:tcPr>
            <w:tcW w:type="dxa" w:w="1240"/>
          </w:tcPr>
          <w:p>
            <w:r>
              <w:rPr>
                <w:rFonts w:ascii="Times New Roman" w:hAnsi="Times New Roman"/>
                <w:b/>
                <w:sz w:val="18"/>
              </w:rPr>
              <w:t>Metric</w:t>
            </w:r>
          </w:p>
        </w:tc>
        <w:tc>
          <w:tcPr>
            <w:tcW w:type="dxa" w:w="1240"/>
          </w:tcPr>
          <w:p>
            <w:r>
              <w:rPr>
                <w:rFonts w:ascii="Times New Roman" w:hAnsi="Times New Roman"/>
                <w:b/>
                <w:sz w:val="18"/>
              </w:rPr>
              <w:t>Condition</w:t>
            </w:r>
          </w:p>
        </w:tc>
        <w:tc>
          <w:tcPr>
            <w:tcW w:type="dxa" w:w="1240"/>
          </w:tcPr>
          <w:p>
            <w:r>
              <w:rPr>
                <w:rFonts w:ascii="Times New Roman" w:hAnsi="Times New Roman"/>
                <w:b/>
                <w:sz w:val="18"/>
              </w:rPr>
              <w:t>M (SD)</w:t>
            </w:r>
          </w:p>
        </w:tc>
        <w:tc>
          <w:tcPr>
            <w:tcW w:type="dxa" w:w="1240"/>
          </w:tcPr>
          <w:p>
            <w:r>
              <w:rPr>
                <w:rFonts w:ascii="Times New Roman" w:hAnsi="Times New Roman"/>
                <w:b/>
                <w:sz w:val="18"/>
              </w:rPr>
              <w:t>n</w:t>
            </w:r>
          </w:p>
        </w:tc>
        <w:tc>
          <w:tcPr>
            <w:tcW w:type="dxa" w:w="1240"/>
          </w:tcPr>
          <w:p>
            <w:r>
              <w:rPr>
                <w:rFonts w:ascii="Times New Roman" w:hAnsi="Times New Roman"/>
                <w:b/>
                <w:sz w:val="18"/>
              </w:rPr>
              <w:t>t-statistic</w:t>
            </w:r>
          </w:p>
        </w:tc>
        <w:tc>
          <w:tcPr>
            <w:tcW w:type="dxa" w:w="1240"/>
          </w:tcPr>
          <w:p>
            <w:r>
              <w:rPr>
                <w:rFonts w:ascii="Times New Roman" w:hAnsi="Times New Roman"/>
                <w:b/>
                <w:sz w:val="18"/>
              </w:rPr>
              <w:t>p-value</w:t>
            </w:r>
          </w:p>
        </w:tc>
        <w:tc>
          <w:tcPr>
            <w:tcW w:type="dxa" w:w="1240"/>
          </w:tcPr>
          <w:p>
            <w:r>
              <w:rPr>
                <w:rFonts w:ascii="Times New Roman" w:hAnsi="Times New Roman"/>
                <w:b/>
                <w:sz w:val="18"/>
              </w:rPr>
              <w:t>Cohen's d</w:t>
            </w:r>
          </w:p>
        </w:tc>
        <w:tc>
          <w:tcPr>
            <w:tcW w:type="dxa" w:w="1240"/>
          </w:tcPr>
          <w:p>
            <w:r>
              <w:rPr>
                <w:rFonts w:ascii="Times New Roman" w:hAnsi="Times New Roman"/>
                <w:b/>
                <w:sz w:val="18"/>
              </w:rPr>
              <w:t>95% CI for d</w:t>
            </w:r>
          </w:p>
        </w:tc>
      </w:tr>
      <w:tr>
        <w:tc>
          <w:tcPr>
            <w:tcW w:type="dxa" w:w="1240"/>
          </w:tcPr>
          <w:p>
            <w:r>
              <w:rPr>
                <w:rFonts w:ascii="Times New Roman" w:hAnsi="Times New Roman"/>
                <w:sz w:val="18"/>
              </w:rPr>
              <w:t>Emotional Tone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1.00</w:t>
            </w:r>
          </w:p>
        </w:tc>
        <w:tc>
          <w:tcPr>
            <w:tcW w:type="dxa" w:w="1240"/>
          </w:tcPr>
          <w:p>
            <w:r>
              <w:rPr>
                <w:rFonts w:ascii="Times New Roman" w:hAnsi="Times New Roman"/>
                <w:sz w:val="18"/>
              </w:rPr>
              <w:t>0.320 (ns)</w:t>
            </w:r>
          </w:p>
        </w:tc>
        <w:tc>
          <w:tcPr>
            <w:tcW w:type="dxa" w:w="1240"/>
          </w:tcPr>
          <w:p>
            <w:r>
              <w:rPr>
                <w:rFonts w:ascii="Times New Roman" w:hAnsi="Times New Roman"/>
                <w:sz w:val="18"/>
              </w:rPr>
              <w:t>0.18</w:t>
            </w:r>
          </w:p>
        </w:tc>
        <w:tc>
          <w:tcPr>
            <w:tcW w:type="dxa" w:w="1240"/>
          </w:tcPr>
          <w:p>
            <w:r>
              <w:rPr>
                <w:rFonts w:ascii="Times New Roman" w:hAnsi="Times New Roman"/>
                <w:sz w:val="18"/>
              </w:rPr>
              <w:t>[-0.18, 0.55]</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2.00 (0.00)</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Relevance &amp; Coherence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1.42</w:t>
            </w:r>
          </w:p>
        </w:tc>
        <w:tc>
          <w:tcPr>
            <w:tcW w:type="dxa" w:w="1240"/>
          </w:tcPr>
          <w:p>
            <w:r>
              <w:rPr>
                <w:rFonts w:ascii="Times New Roman" w:hAnsi="Times New Roman"/>
                <w:sz w:val="18"/>
              </w:rPr>
              <w:t>0.158 (ns)</w:t>
            </w:r>
          </w:p>
        </w:tc>
        <w:tc>
          <w:tcPr>
            <w:tcW w:type="dxa" w:w="1240"/>
          </w:tcPr>
          <w:p>
            <w:r>
              <w:rPr>
                <w:rFonts w:ascii="Times New Roman" w:hAnsi="Times New Roman"/>
                <w:sz w:val="18"/>
              </w:rPr>
              <w:t>0.26</w:t>
            </w:r>
          </w:p>
        </w:tc>
        <w:tc>
          <w:tcPr>
            <w:tcW w:type="dxa" w:w="1240"/>
          </w:tcPr>
          <w:p>
            <w:r>
              <w:rPr>
                <w:rFonts w:ascii="Times New Roman" w:hAnsi="Times New Roman"/>
                <w:sz w:val="18"/>
              </w:rPr>
              <w:t>[-0.10, 0.62]</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1.97 (0.18)</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Personality Needs</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29.87</w:t>
            </w:r>
          </w:p>
        </w:tc>
        <w:tc>
          <w:tcPr>
            <w:tcW w:type="dxa" w:w="1240"/>
          </w:tcPr>
          <w:p>
            <w:r>
              <w:rPr>
                <w:rFonts w:ascii="Times New Roman" w:hAnsi="Times New Roman"/>
                <w:sz w:val="18"/>
              </w:rPr>
              <w:t>&lt; 0.001*</w:t>
            </w:r>
          </w:p>
        </w:tc>
        <w:tc>
          <w:tcPr>
            <w:tcW w:type="dxa" w:w="1240"/>
          </w:tcPr>
          <w:p>
            <w:r>
              <w:rPr>
                <w:rFonts w:ascii="Times New Roman" w:hAnsi="Times New Roman"/>
                <w:sz w:val="18"/>
              </w:rPr>
              <w:t>4.58</w:t>
            </w:r>
          </w:p>
        </w:tc>
        <w:tc>
          <w:tcPr>
            <w:tcW w:type="dxa" w:w="1240"/>
          </w:tcPr>
          <w:p>
            <w:r>
              <w:rPr>
                <w:rFonts w:ascii="Times New Roman" w:hAnsi="Times New Roman"/>
                <w:sz w:val="18"/>
              </w:rPr>
              <w:t>[3.88, 5.27]</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0.17 (0.42)</w:t>
            </w:r>
          </w:p>
        </w:tc>
        <w:tc>
          <w:tcPr>
            <w:tcW w:type="dxa" w:w="1240"/>
          </w:tcPr>
          <w:p>
            <w:r>
              <w:rPr>
                <w:rFonts w:ascii="Times New Roman" w:hAnsi="Times New Roman"/>
                <w:sz w:val="18"/>
              </w:rPr>
              <w:t>58</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bl>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Personality Vector Analysis</w:t>
      </w:r>
    </w:p>
    <w:p>
      <w:r>
        <w:t>Analysis of detected personality vectors revealed consistent trait patterns across dialogue turns. Figure 3 visualizes the distribution of OCEAN trait values for regulated interactions.</w:t>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jc w:val="center"/>
      </w:pPr>
      <w:r>
        <w:drawing>
          <wp:inline xmlns:a="http://schemas.openxmlformats.org/drawingml/2006/main" xmlns:pic="http://schemas.openxmlformats.org/drawingml/2006/picture">
            <wp:extent cx="5486400" cy="3769676"/>
            <wp:docPr id="3" name="Picture 3"/>
            <wp:cNvGraphicFramePr>
              <a:graphicFrameLocks noChangeAspect="1"/>
            </wp:cNvGraphicFramePr>
            <a:graphic>
              <a:graphicData uri="http://schemas.openxmlformats.org/drawingml/2006/picture">
                <pic:pic>
                  <pic:nvPicPr>
                    <pic:cNvPr id="0" name="06_personality_dimensions.png"/>
                    <pic:cNvPicPr/>
                  </pic:nvPicPr>
                  <pic:blipFill>
                    <a:blip r:embed="rId11"/>
                    <a:stretch>
                      <a:fillRect/>
                    </a:stretch>
                  </pic:blipFill>
                  <pic:spPr>
                    <a:xfrm>
                      <a:off x="0" y="0"/>
                      <a:ext cx="5486400" cy="3769676"/>
                    </a:xfrm>
                    <a:prstGeom prst="rect"/>
                  </pic:spPr>
                </pic:pic>
              </a:graphicData>
            </a:graphic>
          </wp:inline>
        </w:drawing>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jc w:val="center"/>
      </w:pPr>
      <w:r>
        <w:drawing>
          <wp:inline xmlns:a="http://schemas.openxmlformats.org/drawingml/2006/main" xmlns:pic="http://schemas.openxmlformats.org/drawingml/2006/picture">
            <wp:extent cx="5486400" cy="4673015"/>
            <wp:docPr id="4" name="Picture 4"/>
            <wp:cNvGraphicFramePr>
              <a:graphicFrameLocks noChangeAspect="1"/>
            </wp:cNvGraphicFramePr>
            <a:graphic>
              <a:graphicData uri="http://schemas.openxmlformats.org/drawingml/2006/picture">
                <pic:pic>
                  <pic:nvPicPr>
                    <pic:cNvPr id="0" name="07_personality_heatmap.png"/>
                    <pic:cNvPicPr/>
                  </pic:nvPicPr>
                  <pic:blipFill>
                    <a:blip r:embed="rId12"/>
                    <a:stretch>
                      <a:fillRect/>
                    </a:stretch>
                  </pic:blipFill>
                  <pic:spPr>
                    <a:xfrm>
                      <a:off x="0" y="0"/>
                      <a:ext cx="5486400" cy="4673015"/>
                    </a:xfrm>
                    <a:prstGeom prst="rect"/>
                  </pic:spPr>
                </pic:pic>
              </a:graphicData>
            </a:graphic>
          </wp:inline>
        </w:drawing>
      </w:r>
    </w:p>
    <w:p>
      <w:pPr>
        <w:pStyle w:val="Heading2"/>
      </w:pPr>
      <w:r>
        <w:t>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jc w:val="center"/>
      </w:pPr>
      <w:r>
        <w:drawing>
          <wp:inline xmlns:a="http://schemas.openxmlformats.org/drawingml/2006/main" xmlns:pic="http://schemas.openxmlformats.org/drawingml/2006/picture">
            <wp:extent cx="5486400" cy="2700121"/>
            <wp:docPr id="5" name="Picture 5"/>
            <wp:cNvGraphicFramePr>
              <a:graphicFrameLocks noChangeAspect="1"/>
            </wp:cNvGraphicFramePr>
            <a:graphic>
              <a:graphicData uri="http://schemas.openxmlformats.org/drawingml/2006/picture">
                <pic:pic>
                  <pic:nvPicPr>
                    <pic:cNvPr id="0" name="03_performance_comparison.png"/>
                    <pic:cNvPicPr/>
                  </pic:nvPicPr>
                  <pic:blipFill>
                    <a:blip r:embed="rId13"/>
                    <a:stretch>
                      <a:fillRect/>
                    </a:stretch>
                  </pic:blipFill>
                  <pic:spPr>
                    <a:xfrm>
                      <a:off x="0" y="0"/>
                      <a:ext cx="5486400" cy="2700121"/>
                    </a:xfrm>
                    <a:prstGeom prst="rect"/>
                  </pic:spPr>
                </pic:pic>
              </a:graphicData>
            </a:graphic>
          </wp:inline>
        </w:drawing>
      </w:r>
    </w:p>
    <w:p>
      <w:pPr>
        <w:pStyle w:val="Heading2"/>
      </w:pPr>
      <w:r>
        <w:t>Effect Size Analysis</w:t>
      </w:r>
    </w:p>
    <w:p>
      <w:r>
        <w:t>Figure 6 visualizes the effect sizes (Cohen's d) for each evaluation metric, highlighting the magnitude of performance differences.</w:t>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jc w:val="center"/>
      </w:pPr>
      <w:r>
        <w:drawing>
          <wp:inline xmlns:a="http://schemas.openxmlformats.org/drawingml/2006/main" xmlns:pic="http://schemas.openxmlformats.org/drawingml/2006/picture">
            <wp:extent cx="5486400" cy="3262633"/>
            <wp:docPr id="6" name="Picture 6"/>
            <wp:cNvGraphicFramePr>
              <a:graphicFrameLocks noChangeAspect="1"/>
            </wp:cNvGraphicFramePr>
            <a:graphic>
              <a:graphicData uri="http://schemas.openxmlformats.org/drawingml/2006/picture">
                <pic:pic>
                  <pic:nvPicPr>
                    <pic:cNvPr id="0" name="04_effect_sizes.png"/>
                    <pic:cNvPicPr/>
                  </pic:nvPicPr>
                  <pic:blipFill>
                    <a:blip r:embed="rId14"/>
                    <a:stretch>
                      <a:fillRect/>
                    </a:stretch>
                  </pic:blipFill>
                  <pic:spPr>
                    <a:xfrm>
                      <a:off x="0" y="0"/>
                      <a:ext cx="5486400" cy="3262633"/>
                    </a:xfrm>
                    <a:prstGeom prst="rect"/>
                  </pic:spPr>
                </pic:pic>
              </a:graphicData>
            </a:graphic>
          </wp:inline>
        </w:drawing>
      </w:r>
    </w:p>
    <w:p>
      <w:r>
        <w:t>Figure 7 presents the percentage improvement across metrics, providing an alternative visualization of the selective enhancement pattern.</w:t>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jc w:val="center"/>
      </w:pPr>
      <w:r>
        <w:drawing>
          <wp:inline xmlns:a="http://schemas.openxmlformats.org/drawingml/2006/main" xmlns:pic="http://schemas.openxmlformats.org/drawingml/2006/picture">
            <wp:extent cx="5486400" cy="3253863"/>
            <wp:docPr id="7" name="Picture 7"/>
            <wp:cNvGraphicFramePr>
              <a:graphicFrameLocks noChangeAspect="1"/>
            </wp:cNvGraphicFramePr>
            <a:graphic>
              <a:graphicData uri="http://schemas.openxmlformats.org/drawingml/2006/picture">
                <pic:pic>
                  <pic:nvPicPr>
                    <pic:cNvPr id="0" name="05_percentage_improvement.png"/>
                    <pic:cNvPicPr/>
                  </pic:nvPicPr>
                  <pic:blipFill>
                    <a:blip r:embed="rId15"/>
                    <a:stretch>
                      <a:fillRect/>
                    </a:stretch>
                  </pic:blipFill>
                  <pic:spPr>
                    <a:xfrm>
                      <a:off x="0" y="0"/>
                      <a:ext cx="5486400" cy="3253863"/>
                    </a:xfrm>
                    <a:prstGeom prst="rect"/>
                  </pic:spPr>
                </pic:pic>
              </a:graphicData>
            </a:graphic>
          </wp:inline>
        </w:drawing>
      </w:r>
    </w:p>
    <w:p>
      <w:pPr>
        <w:pStyle w:val="Heading2"/>
      </w:pPr>
      <w:r>
        <w:t>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tbl>
      <w:tblPr>
        <w:tblStyle w:val="LightGrid-Accent1"/>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b/>
                <w:sz w:val="18"/>
              </w:rPr>
              <w:t>Metric</w:t>
            </w:r>
          </w:p>
        </w:tc>
        <w:tc>
          <w:tcPr>
            <w:tcW w:type="dxa" w:w="1654"/>
          </w:tcPr>
          <w:p>
            <w:r>
              <w:rPr>
                <w:rFonts w:ascii="Times New Roman" w:hAnsi="Times New Roman"/>
                <w:b/>
                <w:sz w:val="18"/>
              </w:rPr>
              <w:t>Regulated Mean (SD)</w:t>
            </w:r>
          </w:p>
        </w:tc>
        <w:tc>
          <w:tcPr>
            <w:tcW w:type="dxa" w:w="1654"/>
          </w:tcPr>
          <w:p>
            <w:r>
              <w:rPr>
                <w:rFonts w:ascii="Times New Roman" w:hAnsi="Times New Roman"/>
                <w:b/>
                <w:sz w:val="18"/>
              </w:rPr>
              <w:t>Baseline Mean (SD)</w:t>
            </w:r>
          </w:p>
        </w:tc>
        <w:tc>
          <w:tcPr>
            <w:tcW w:type="dxa" w:w="1654"/>
          </w:tcPr>
          <w:p>
            <w:r>
              <w:rPr>
                <w:rFonts w:ascii="Times New Roman" w:hAnsi="Times New Roman"/>
                <w:b/>
                <w:sz w:val="18"/>
              </w:rPr>
              <w:t>Mean Difference</w:t>
            </w:r>
          </w:p>
        </w:tc>
        <w:tc>
          <w:tcPr>
            <w:tcW w:type="dxa" w:w="1654"/>
          </w:tcPr>
          <w:p>
            <w:r>
              <w:rPr>
                <w:rFonts w:ascii="Times New Roman" w:hAnsi="Times New Roman"/>
                <w:b/>
                <w:sz w:val="18"/>
              </w:rPr>
              <w:t>Cohen's d</w:t>
            </w:r>
          </w:p>
        </w:tc>
        <w:tc>
          <w:tcPr>
            <w:tcW w:type="dxa" w:w="1654"/>
          </w:tcPr>
          <w:p>
            <w:r>
              <w:rPr>
                <w:rFonts w:ascii="Times New Roman" w:hAnsi="Times New Roman"/>
                <w:b/>
                <w:sz w:val="18"/>
              </w:rPr>
              <w:t>Improvement %</w:t>
            </w:r>
          </w:p>
        </w:tc>
      </w:tr>
      <w:tr>
        <w:tc>
          <w:tcPr>
            <w:tcW w:type="dxa" w:w="1654"/>
          </w:tcPr>
          <w:p>
            <w:r>
              <w:rPr>
                <w:rFonts w:ascii="Times New Roman" w:hAnsi="Times New Roman"/>
                <w:sz w:val="18"/>
              </w:rPr>
              <w:t>Emotional Tone</w:t>
            </w:r>
          </w:p>
        </w:tc>
        <w:tc>
          <w:tcPr>
            <w:tcW w:type="dxa" w:w="1654"/>
          </w:tcPr>
          <w:p>
            <w:r>
              <w:rPr>
                <w:rFonts w:ascii="Times New Roman" w:hAnsi="Times New Roman"/>
                <w:sz w:val="18"/>
              </w:rPr>
              <w:t>2.00 (0.00)</w:t>
            </w:r>
          </w:p>
        </w:tc>
        <w:tc>
          <w:tcPr>
            <w:tcW w:type="dxa" w:w="1654"/>
          </w:tcPr>
          <w:p>
            <w:r>
              <w:rPr>
                <w:rFonts w:ascii="Times New Roman" w:hAnsi="Times New Roman"/>
                <w:sz w:val="18"/>
              </w:rPr>
              <w:t>2.00 (0.00)</w:t>
            </w:r>
          </w:p>
        </w:tc>
        <w:tc>
          <w:tcPr>
            <w:tcW w:type="dxa" w:w="1654"/>
          </w:tcPr>
          <w:p>
            <w:r>
              <w:rPr>
                <w:rFonts w:ascii="Times New Roman" w:hAnsi="Times New Roman"/>
                <w:sz w:val="18"/>
              </w:rPr>
              <w:t>0.00</w:t>
            </w:r>
          </w:p>
        </w:tc>
        <w:tc>
          <w:tcPr>
            <w:tcW w:type="dxa" w:w="1654"/>
          </w:tcPr>
          <w:p>
            <w:r>
              <w:rPr>
                <w:rFonts w:ascii="Times New Roman" w:hAnsi="Times New Roman"/>
                <w:sz w:val="18"/>
              </w:rPr>
              <w:t>0.00</w:t>
            </w:r>
          </w:p>
        </w:tc>
        <w:tc>
          <w:tcPr>
            <w:tcW w:type="dxa" w:w="1654"/>
          </w:tcPr>
          <w:p>
            <w:r>
              <w:rPr>
                <w:rFonts w:ascii="Times New Roman" w:hAnsi="Times New Roman"/>
                <w:sz w:val="18"/>
              </w:rPr>
              <w:t>0.0%</w:t>
            </w:r>
          </w:p>
        </w:tc>
      </w:tr>
      <w:tr>
        <w:tc>
          <w:tcPr>
            <w:tcW w:type="dxa" w:w="1654"/>
          </w:tcPr>
          <w:p>
            <w:r>
              <w:rPr>
                <w:rFonts w:ascii="Times New Roman" w:hAnsi="Times New Roman"/>
                <w:sz w:val="18"/>
              </w:rPr>
              <w:t>Relevance &amp; Coherence</w:t>
            </w:r>
          </w:p>
        </w:tc>
        <w:tc>
          <w:tcPr>
            <w:tcW w:type="dxa" w:w="1654"/>
          </w:tcPr>
          <w:p>
            <w:r>
              <w:rPr>
                <w:rFonts w:ascii="Times New Roman" w:hAnsi="Times New Roman"/>
                <w:sz w:val="18"/>
              </w:rPr>
              <w:t>2.00 (0.00)</w:t>
            </w:r>
          </w:p>
        </w:tc>
        <w:tc>
          <w:tcPr>
            <w:tcW w:type="dxa" w:w="1654"/>
          </w:tcPr>
          <w:p>
            <w:r>
              <w:rPr>
                <w:rFonts w:ascii="Times New Roman" w:hAnsi="Times New Roman"/>
                <w:sz w:val="18"/>
              </w:rPr>
              <w:t>1.97 (0.26)</w:t>
            </w:r>
          </w:p>
        </w:tc>
        <w:tc>
          <w:tcPr>
            <w:tcW w:type="dxa" w:w="1654"/>
          </w:tcPr>
          <w:p>
            <w:r>
              <w:rPr>
                <w:rFonts w:ascii="Times New Roman" w:hAnsi="Times New Roman"/>
                <w:sz w:val="18"/>
              </w:rPr>
              <w:t>+0.03</w:t>
            </w:r>
          </w:p>
        </w:tc>
        <w:tc>
          <w:tcPr>
            <w:tcW w:type="dxa" w:w="1654"/>
          </w:tcPr>
          <w:p>
            <w:r>
              <w:rPr>
                <w:rFonts w:ascii="Times New Roman" w:hAnsi="Times New Roman"/>
                <w:sz w:val="18"/>
              </w:rPr>
              <w:t>0.18</w:t>
            </w:r>
          </w:p>
        </w:tc>
        <w:tc>
          <w:tcPr>
            <w:tcW w:type="dxa" w:w="1654"/>
          </w:tcPr>
          <w:p>
            <w:r>
              <w:rPr>
                <w:rFonts w:ascii="Times New Roman" w:hAnsi="Times New Roman"/>
                <w:sz w:val="18"/>
              </w:rPr>
              <w:t>1.7%</w:t>
            </w:r>
          </w:p>
        </w:tc>
      </w:tr>
      <w:tr>
        <w:tc>
          <w:tcPr>
            <w:tcW w:type="dxa" w:w="1654"/>
          </w:tcPr>
          <w:p>
            <w:r>
              <w:rPr>
                <w:rFonts w:ascii="Times New Roman" w:hAnsi="Times New Roman"/>
                <w:sz w:val="18"/>
              </w:rPr>
              <w:t>Personality Needs</w:t>
            </w:r>
          </w:p>
        </w:tc>
        <w:tc>
          <w:tcPr>
            <w:tcW w:type="dxa" w:w="1654"/>
          </w:tcPr>
          <w:p>
            <w:r>
              <w:rPr>
                <w:rFonts w:ascii="Times New Roman" w:hAnsi="Times New Roman"/>
                <w:sz w:val="18"/>
              </w:rPr>
              <w:t>2.00 (0.00)</w:t>
            </w:r>
          </w:p>
        </w:tc>
        <w:tc>
          <w:tcPr>
            <w:tcW w:type="dxa" w:w="1654"/>
          </w:tcPr>
          <w:p>
            <w:r>
              <w:rPr>
                <w:rFonts w:ascii="Times New Roman" w:hAnsi="Times New Roman"/>
                <w:sz w:val="18"/>
              </w:rPr>
              <w:t>0.20 (0.58)</w:t>
            </w:r>
          </w:p>
        </w:tc>
        <w:tc>
          <w:tcPr>
            <w:tcW w:type="dxa" w:w="1654"/>
          </w:tcPr>
          <w:p>
            <w:r>
              <w:rPr>
                <w:rFonts w:ascii="Times New Roman" w:hAnsi="Times New Roman"/>
                <w:sz w:val="18"/>
              </w:rPr>
              <w:t>+1.80</w:t>
            </w:r>
          </w:p>
        </w:tc>
        <w:tc>
          <w:tcPr>
            <w:tcW w:type="dxa" w:w="1654"/>
          </w:tcPr>
          <w:p>
            <w:r>
              <w:rPr>
                <w:rFonts w:ascii="Times New Roman" w:hAnsi="Times New Roman"/>
                <w:sz w:val="18"/>
              </w:rPr>
              <w:t>4.42</w:t>
            </w:r>
          </w:p>
        </w:tc>
        <w:tc>
          <w:tcPr>
            <w:tcW w:type="dxa" w:w="1654"/>
          </w:tcPr>
          <w:p>
            <w:r>
              <w:rPr>
                <w:rFonts w:ascii="Times New Roman" w:hAnsi="Times New Roman"/>
                <w:sz w:val="18"/>
              </w:rPr>
              <w:t>90.0%</w:t>
            </w:r>
          </w:p>
        </w:tc>
      </w:tr>
    </w:tbl>
    <w:p/>
    <w:p>
      <w:r>
        <w:t>Figure 8 visualizes the weighted score distributions for each metric.</w:t>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jc w:val="center"/>
      </w:pPr>
      <w:r>
        <w:drawing>
          <wp:inline xmlns:a="http://schemas.openxmlformats.org/drawingml/2006/main" xmlns:pic="http://schemas.openxmlformats.org/drawingml/2006/picture">
            <wp:extent cx="5486400" cy="3182327"/>
            <wp:docPr id="8" name="Picture 8"/>
            <wp:cNvGraphicFramePr>
              <a:graphicFrameLocks noChangeAspect="1"/>
            </wp:cNvGraphicFramePr>
            <a:graphic>
              <a:graphicData uri="http://schemas.openxmlformats.org/drawingml/2006/picture">
                <pic:pic>
                  <pic:nvPicPr>
                    <pic:cNvPr id="0" name="08_weighted_scores.png"/>
                    <pic:cNvPicPr/>
                  </pic:nvPicPr>
                  <pic:blipFill>
                    <a:blip r:embed="rId16"/>
                    <a:stretch>
                      <a:fillRect/>
                    </a:stretch>
                  </pic:blipFill>
                  <pic:spPr>
                    <a:xfrm>
                      <a:off x="0" y="0"/>
                      <a:ext cx="5486400" cy="3182327"/>
                    </a:xfrm>
                    <a:prstGeom prst="rect"/>
                  </pic:spPr>
                </pic:pic>
              </a:graphicData>
            </a:graphic>
          </wp:inline>
        </w:drawing>
      </w:r>
    </w:p>
    <w:p>
      <w:r>
        <w:t>Figure 9 provides a complementary visualization focusing on the total quality scores.</w:t>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jc w:val="center"/>
      </w:pPr>
      <w:r>
        <w:drawing>
          <wp:inline xmlns:a="http://schemas.openxmlformats.org/drawingml/2006/main" xmlns:pic="http://schemas.openxmlformats.org/drawingml/2006/picture">
            <wp:extent cx="5486400" cy="3267431"/>
            <wp:docPr id="9" name="Picture 9"/>
            <wp:cNvGraphicFramePr>
              <a:graphicFrameLocks noChangeAspect="1"/>
            </wp:cNvGraphicFramePr>
            <a:graphic>
              <a:graphicData uri="http://schemas.openxmlformats.org/drawingml/2006/picture">
                <pic:pic>
                  <pic:nvPicPr>
                    <pic:cNvPr id="0" name="09_total_score_boxplot.png"/>
                    <pic:cNvPicPr/>
                  </pic:nvPicPr>
                  <pic:blipFill>
                    <a:blip r:embed="rId17"/>
                    <a:stretch>
                      <a:fillRect/>
                    </a:stretch>
                  </pic:blipFill>
                  <pic:spPr>
                    <a:xfrm>
                      <a:off x="0" y="0"/>
                      <a:ext cx="5486400" cy="3267431"/>
                    </a:xfrm>
                    <a:prstGeom prst="rect"/>
                  </pic:spPr>
                </pic:pic>
              </a:graphicData>
            </a:graphic>
          </wp:inline>
        </w:drawing>
      </w:r>
    </w:p>
    <w:p>
      <w:pPr>
        <w:pStyle w:val="Heading2"/>
      </w:pPr>
      <w:r>
        <w:t>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Metric</w:t>
            </w:r>
          </w:p>
        </w:tc>
        <w:tc>
          <w:tcPr>
            <w:tcW w:type="dxa" w:w="1984"/>
          </w:tcPr>
          <w:p>
            <w:r>
              <w:rPr>
                <w:rFonts w:ascii="Times New Roman" w:hAnsi="Times New Roman"/>
                <w:b/>
                <w:sz w:val="18"/>
              </w:rPr>
              <w:t>Independent t-test</w:t>
            </w:r>
          </w:p>
        </w:tc>
        <w:tc>
          <w:tcPr>
            <w:tcW w:type="dxa" w:w="1984"/>
          </w:tcPr>
          <w:p>
            <w:r>
              <w:rPr>
                <w:rFonts w:ascii="Times New Roman" w:hAnsi="Times New Roman"/>
                <w:b/>
                <w:sz w:val="18"/>
              </w:rPr>
              <w:t>Mann-Whitney U</w:t>
            </w:r>
          </w:p>
        </w:tc>
        <w:tc>
          <w:tcPr>
            <w:tcW w:type="dxa" w:w="1984"/>
          </w:tcPr>
          <w:p>
            <w:r>
              <w:rPr>
                <w:rFonts w:ascii="Times New Roman" w:hAnsi="Times New Roman"/>
                <w:b/>
                <w:sz w:val="18"/>
              </w:rPr>
              <w:t>Levene's Test</w:t>
            </w:r>
          </w:p>
        </w:tc>
        <w:tc>
          <w:tcPr>
            <w:tcW w:type="dxa" w:w="1984"/>
          </w:tcPr>
          <w:p>
            <w:r>
              <w:rPr>
                <w:rFonts w:ascii="Times New Roman" w:hAnsi="Times New Roman"/>
                <w:b/>
                <w:sz w:val="18"/>
              </w:rPr>
              <w:t>Normality (Shapiro-Wilk)</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t=0, p=1.000</w:t>
            </w:r>
          </w:p>
        </w:tc>
        <w:tc>
          <w:tcPr>
            <w:tcW w:type="dxa" w:w="1984"/>
          </w:tcPr>
          <w:p>
            <w:r>
              <w:rPr>
                <w:rFonts w:ascii="Times New Roman" w:hAnsi="Times New Roman"/>
                <w:sz w:val="18"/>
              </w:rPr>
              <w:t>U=1770, p=1.000</w:t>
            </w:r>
          </w:p>
        </w:tc>
        <w:tc>
          <w:tcPr>
            <w:tcW w:type="dxa" w:w="1984"/>
          </w:tcPr>
          <w:p>
            <w:r>
              <w:rPr>
                <w:rFonts w:ascii="Times New Roman" w:hAnsi="Times New Roman"/>
                <w:sz w:val="18"/>
              </w:rPr>
              <w:t>p&gt;0.05 (equal var.)</w:t>
            </w:r>
          </w:p>
        </w:tc>
        <w:tc>
          <w:tcPr>
            <w:tcW w:type="dxa" w:w="1984"/>
          </w:tcPr>
          <w:p>
            <w:r>
              <w:rPr>
                <w:rFonts w:ascii="Times New Roman" w:hAnsi="Times New Roman"/>
                <w:sz w:val="18"/>
              </w:rPr>
              <w:t>Reg: p=1.000, Base: p=1.000</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t=0.99, p=0.323</w:t>
            </w:r>
          </w:p>
        </w:tc>
        <w:tc>
          <w:tcPr>
            <w:tcW w:type="dxa" w:w="1984"/>
          </w:tcPr>
          <w:p>
            <w:r>
              <w:rPr>
                <w:rFonts w:ascii="Times New Roman" w:hAnsi="Times New Roman"/>
                <w:sz w:val="18"/>
              </w:rPr>
              <w:t>U=1799.5, p=0.330</w:t>
            </w:r>
          </w:p>
        </w:tc>
        <w:tc>
          <w:tcPr>
            <w:tcW w:type="dxa" w:w="1984"/>
          </w:tcPr>
          <w:p>
            <w:r>
              <w:rPr>
                <w:rFonts w:ascii="Times New Roman" w:hAnsi="Times New Roman"/>
                <w:sz w:val="18"/>
              </w:rPr>
              <w:t>p=0.323 (equal var.)</w:t>
            </w:r>
          </w:p>
        </w:tc>
        <w:tc>
          <w:tcPr>
            <w:tcW w:type="dxa" w:w="1984"/>
          </w:tcPr>
          <w:p>
            <w:r>
              <w:rPr>
                <w:rFonts w:ascii="Times New Roman" w:hAnsi="Times New Roman"/>
                <w:sz w:val="18"/>
              </w:rPr>
              <w:t>Reg: p=1.000, Base: p&lt;0.001</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t=23.99, p&lt;0.001</w:t>
            </w:r>
          </w:p>
        </w:tc>
        <w:tc>
          <w:tcPr>
            <w:tcW w:type="dxa" w:w="1984"/>
          </w:tcPr>
          <w:p>
            <w:r>
              <w:rPr>
                <w:rFonts w:ascii="Times New Roman" w:hAnsi="Times New Roman"/>
                <w:sz w:val="18"/>
              </w:rPr>
              <w:t>U=3392.5, p&lt;0.001</w:t>
            </w:r>
          </w:p>
        </w:tc>
        <w:tc>
          <w:tcPr>
            <w:tcW w:type="dxa" w:w="1984"/>
          </w:tcPr>
          <w:p>
            <w:r>
              <w:rPr>
                <w:rFonts w:ascii="Times New Roman" w:hAnsi="Times New Roman"/>
                <w:sz w:val="18"/>
              </w:rPr>
              <w:t>p=0.009 (unequal var.)</w:t>
            </w:r>
          </w:p>
        </w:tc>
        <w:tc>
          <w:tcPr>
            <w:tcW w:type="dxa" w:w="1984"/>
          </w:tcPr>
          <w:p>
            <w:r>
              <w:rPr>
                <w:rFonts w:ascii="Times New Roman" w:hAnsi="Times New Roman"/>
                <w:sz w:val="18"/>
              </w:rPr>
              <w:t>Reg: p=1.000, Base: p&lt;0.001</w:t>
            </w:r>
          </w:p>
        </w:tc>
      </w:tr>
    </w:tbl>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Discussion</w:t>
      </w:r>
    </w:p>
    <w:p>
      <w:pPr>
        <w:pStyle w:val="Heading2"/>
      </w:pPr>
      <w:r>
        <w:t>Principal Findings</w:t>
      </w:r>
    </w:p>
    <w:p>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r>
        <w:rPr>
          <w:b/>
        </w:rPr>
        <w:t>Key Technical Achievements</w:t>
      </w:r>
      <w:r>
        <w:t>:</w:t>
      </w:r>
    </w:p>
    <w:p>
      <w:r>
        <w:t xml:space="preserve">1. </w:t>
      </w:r>
      <w:r>
        <w:rPr>
          <w:b/>
        </w:rPr>
        <w:t>Successful implementation of real-time personality detection</w:t>
      </w:r>
      <w:r>
        <w:t xml:space="preserve"> with 100% accuracy for extreme profiles and validated AI evaluation (κ = 0.89 agreement with human experts)</w:t>
      </w:r>
    </w:p>
    <w:p>
      <w:r>
        <w:t xml:space="preserve">2. </w:t>
      </w:r>
      <w:r>
        <w:rPr>
          <w:b/>
        </w:rPr>
        <w:t>Effective translation of personality traits into behavioral modifications</w:t>
      </w:r>
      <w:r>
        <w:t xml:space="preserve"> through Zurich Model integration, producing measurably different conversational approaches</w:t>
      </w:r>
    </w:p>
    <w:p>
      <w:r>
        <w:t xml:space="preserve">3. </w:t>
      </w:r>
      <w:r>
        <w:rPr>
          <w:b/>
        </w:rPr>
        <w:t>Selective enhancement pattern</w:t>
      </w:r>
      <w:r>
        <w:t xml:space="preserve"> where personality adaptation specifically improves personalization (d = 4.58) without compromising basic quality (d &lt; 0.3)</w:t>
      </w:r>
    </w:p>
    <w:p>
      <w:r>
        <w:t xml:space="preserve">4. </w:t>
      </w:r>
      <w:r>
        <w:rPr>
          <w:b/>
        </w:rPr>
        <w:t>Validated evaluation methodology</w:t>
      </w:r>
      <w:r>
        <w:t xml:space="preserve"> benchmarked against clinical psychologists, establishing reliability and reducing AI-rating-AI concerns</w:t>
      </w:r>
    </w:p>
    <w:p>
      <w:r>
        <w:rPr>
          <w:b/>
        </w:rPr>
        <w:t>Statistical Significance of Findings</w:t>
      </w:r>
      <w:r>
        <w:t>: The extremely large effect size (Cohen's d = 4.58) for Personality Needs Addressed represents one of the strongest effects reported in conversational AI research. For context, Cohen's d &gt; 0.8 is conventionally classified as "large," making our observed effect more than 5 times larger than typical large effects. Combined with perfect statistical significance (p &lt; 0.001) and high AI-human evaluator agreement (κ = 0.89), these findings provide robust quantitative evidence that personality-adaptive regulation produces meaningful performance improvements in controlled simulation conditions.</w:t>
      </w:r>
    </w:p>
    <w:p>
      <w:pPr>
        <w:pStyle w:val="Heading2"/>
      </w:pPr>
      <w:r>
        <w:t>Addressing Perfect Performance: Ceiling Effects and Simulation Artifacts</w:t>
      </w:r>
    </w:p>
    <w:p>
      <w:r>
        <w:t>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p>
      <w:pPr>
        <w:pStyle w:val="Heading3"/>
      </w:pPr>
      <w:r>
        <w:t>Is Perfect Performance a Simulation Artifact?</w:t>
      </w:r>
    </w:p>
    <w:p>
      <w:r>
        <w:rPr>
          <w:b/>
        </w:rPr>
        <w:t>Yes, partially.</w:t>
      </w:r>
      <w:r>
        <w:t xml:space="preserve"> The perfect performance likely reflects several simulation-specific factors that would not generalize to real-world deployment:</w:t>
      </w:r>
    </w:p>
    <w:p>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pPr>
        <w:pStyle w:val="Heading3"/>
      </w:pPr>
      <w:r>
        <w:t>Is Perfect Performance Realistic for Real-World Deployment?</w:t>
      </w:r>
    </w:p>
    <w:p>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r>
        <w:rPr>
          <w:i/>
        </w:rPr>
        <w:t xml:space="preserve"> </w:t>
      </w:r>
      <w:r>
        <w:rPr>
          <w:i/>
        </w:rPr>
        <w:t>Upper Bound Estimate</w:t>
      </w:r>
      <w:r>
        <w:t>*: The perfect performance represents a theoretical maximum under ideally controlled conditions, not a realistic expectation for clinical deployment.</w:t>
      </w:r>
    </w:p>
    <w:p>
      <w:r>
        <w:rPr>
          <w:i/>
        </w:rPr>
        <w:t xml:space="preserve"> </w:t>
      </w:r>
      <w:r>
        <w:rPr>
          <w:i/>
        </w:rPr>
        <w:t>Technical Feasibility Demonstration</w:t>
      </w:r>
      <w:r>
        <w:t>*: The results establish that the core technical components (detection, regulation, response generation) can function correctly when all conditions are favorable.</w:t>
      </w:r>
    </w:p>
    <w:p>
      <w:r>
        <w:rPr>
          <w:i/>
        </w:rPr>
        <w:t xml:space="preserve"> </w:t>
      </w:r>
      <w:r>
        <w:rPr>
          <w:i/>
        </w:rPr>
        <w:t>Requirement for Degradation Analysis</w:t>
      </w:r>
      <w:r>
        <w:t>*: Future research must systematically test performance degradation under increasingly realistic conditions: moderate personalities, spontaneous conversation, longer interactions, cultural diversity, and clinical complexity.</w:t>
      </w:r>
    </w:p>
    <w:p>
      <w:pPr>
        <w:pStyle w:val="Heading3"/>
      </w:pPr>
      <w:r>
        <w:t>Clinical Implications of Perfect Scores</w:t>
      </w:r>
    </w:p>
    <w:p>
      <w:r>
        <w:t>From a clinical perspective, perfect AI performance raises ethical concerns about:</w:t>
      </w:r>
    </w:p>
    <w:p>
      <w:r>
        <w:rPr>
          <w:i/>
        </w:rPr>
        <w:t xml:space="preserve"> </w:t>
      </w:r>
      <w:r>
        <w:rPr>
          <w:i/>
        </w:rPr>
        <w:t>Over-reliance Risk</w:t>
      </w:r>
      <w:r>
        <w:t>*: Healthcare providers or patients might over-trust an AI that appears infallible in testing, leading to dangerous complacency when real-world failures inevitably occur.</w:t>
      </w:r>
    </w:p>
    <w:p>
      <w:r>
        <w:rPr>
          <w:i/>
        </w:rPr>
        <w:t xml:space="preserve"> </w:t>
      </w:r>
      <w:r>
        <w:rPr>
          <w:i/>
        </w:rPr>
        <w:t>Lack of Humility</w:t>
      </w:r>
      <w:r>
        <w:t>*: The system currently lacks mechanisms to communicate uncertainty, acknowledge limitations, or recognize when it is outside its competence range—critical safety features for healthcare AI.</w:t>
      </w:r>
    </w:p>
    <w:p>
      <w:r>
        <w:rPr>
          <w:i/>
        </w:rPr>
        <w:t xml:space="preserve"> </w:t>
      </w:r>
      <w:r>
        <w:rPr>
          <w:i/>
        </w:rPr>
        <w:t>Missing Failure Mode Analysis</w:t>
      </w:r>
      <w:r>
        <w:t>*: We have not yet tested how the system fails (e.g., misclassification consequences, cultural bias impacts, crisis response inadequacy), which is essential for safety validation.</w:t>
      </w:r>
    </w:p>
    <w:p>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pPr>
        <w:pStyle w:val="Heading2"/>
      </w:pPr>
      <w:r>
        <w:t>Why Baseline Agents Failed: Interpretation and Implications</w:t>
      </w:r>
    </w:p>
    <w:p>
      <w:r>
        <w:t>The baseline agents' near-complete failure on Personality Needs Addressed (8.62% success rate, M = 0.17) requires interpretation beyond mere statistical reporting. This failure provides crucial insights into the limitations of one-size-fits-all emotional support.</w:t>
      </w:r>
    </w:p>
    <w:p>
      <w:pPr>
        <w:pStyle w:val="Heading3"/>
      </w:pPr>
      <w:r>
        <w:t>Mechanism of Baseline Failure</w:t>
      </w:r>
    </w:p>
    <w:p>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r>
        <w:rPr>
          <w:b/>
        </w:rPr>
        <w:t>Why Generic Support Failed</w:t>
      </w:r>
      <w:r>
        <w:t>:</w:t>
      </w:r>
    </w:p>
    <w:p>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pPr>
        <w:pStyle w:val="Heading3"/>
      </w:pPr>
      <w:r>
        <w:t>Implications for Healthcare AI Design</w:t>
      </w:r>
    </w:p>
    <w:p>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r>
        <w:rPr>
          <w:b/>
        </w:rPr>
        <w:t>Broader Implications</w:t>
      </w:r>
      <w:r>
        <w:t>:</w:t>
      </w:r>
    </w:p>
    <w:p>
      <w:r>
        <w:rPr>
          <w:i/>
        </w:rPr>
        <w:t xml:space="preserve"> </w:t>
      </w:r>
      <w:r>
        <w:rPr>
          <w:i/>
        </w:rPr>
        <w:t>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r>
        <w:rPr>
          <w:i/>
        </w:rPr>
        <w:t xml:space="preserve"> </w:t>
      </w:r>
      <w:r>
        <w:rPr>
          <w:i/>
        </w:rPr>
        <w:t>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r>
        <w:rPr>
          <w:i/>
        </w:rPr>
        <w:t xml:space="preserve"> </w:t>
      </w:r>
      <w:r>
        <w:rPr>
          <w:i/>
        </w:rPr>
        <w:t>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pPr>
        <w:pStyle w:val="Heading2"/>
      </w:pPr>
      <w:r>
        <w:t>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pPr>
        <w:pStyle w:val="Heading2"/>
      </w:pPr>
      <w:r>
        <w:t>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Limitations</w:t>
      </w:r>
    </w:p>
    <w:p>
      <w:r>
        <w:t>This study's findings must be interpreted within significant methodological constraints that restrict generalizability and real-world applicability.</w:t>
      </w:r>
    </w:p>
    <w:p>
      <w:pPr>
        <w:pStyle w:val="Heading2"/>
      </w:pPr>
      <w:r>
        <w:t>Study Design Limitations</w:t>
      </w:r>
    </w:p>
    <w:p>
      <w:r>
        <w:t>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r>
        <w:t>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w:t>
      </w:r>
    </w:p>
    <w:p>
      <w:r>
        <w:t>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w:t>
      </w:r>
    </w:p>
    <w:p>
      <w:pPr>
        <w:pStyle w:val="Heading3"/>
      </w:pPr>
      <w:r>
        <w:t>Evaluation and Technical Limitations</w:t>
      </w:r>
    </w:p>
    <w:p>
      <w:r>
        <w:t>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w:t>
      </w:r>
    </w:p>
    <w:p>
      <w:r>
        <w:t>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w:t>
      </w:r>
    </w:p>
    <w:p>
      <w:pPr>
        <w:pStyle w:val="Heading3"/>
      </w:pPr>
      <w:r>
        <w:t>Scope and Generalizability Limitations</w:t>
      </w:r>
    </w:p>
    <w:p>
      <w:r>
        <w:t>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w:t>
      </w:r>
    </w:p>
    <w:p>
      <w:r>
        <w:t>System patterns were calibrated exclusively for English; cross-cultural validity remains unknown. Personality expression varies significantly across cultures. The system has not been tested with non-Western users, non-English languages, or culturally diverse communication norms.</w:t>
      </w:r>
    </w:p>
    <w:p>
      <w:r>
        <w:t>No measurement of actual health outcomes, therapeutic efficacy, user satisfaction, behavioral changes, or clinical improvement occurred. The study measures conversational appropriateness, not healing, recovery, or quality of life improvement.</w:t>
      </w:r>
    </w:p>
    <w:p>
      <w:pPr>
        <w:pStyle w:val="Heading3"/>
      </w:pPr>
      <w:r>
        <w:t>Ethical Considerations</w:t>
      </w:r>
    </w:p>
    <w:p>
      <w:r>
        <w:t>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w:t>
      </w:r>
    </w:p>
    <w:p>
      <w:pPr>
        <w:pStyle w:val="Heading2"/>
      </w:pPr>
      <w:r>
        <w:t>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Heading2"/>
      </w:pPr>
      <w:r>
        <w:t>Future Research Priorities</w:t>
      </w:r>
    </w:p>
    <w:p>
      <w:r>
        <w:t>The findings from this proof-of-concept study establish a foundation for a comprehensive research roadmap that transitions from controlled simulation to real-world validation. The pathway to clinical deployment requires systematic human subject research, technical enhancement, cultural validation, and regulatory engagement—a process we estimate will span 2-3 years of intensive investigation.</w:t>
      </w:r>
    </w:p>
    <w:p>
      <w:pPr>
        <w:pStyle w:val="Heading3"/>
      </w:pPr>
      <w:r>
        <w:t>Immediate Next Steps: Human Subject Validation (Months 0-12)</w:t>
      </w:r>
    </w:p>
    <w:p>
      <w:r>
        <w:t>The most critical limitation of simulation-based research is the complete absence of real user data. We propose launching a pilot randomized controlled trial with 50-100 elderly participants (aged 65+, living independently, experiencing moderate loneliness) over a 6-12 month timeline. This pilot study would compare three conditions: personality-adaptive conversational AI, static supportive AI, and waitlist control, with participants engaging in daily 10-minute interactions over four weeks (28 total sessions). Primary outcome measurement would focus on the UCLA Loneliness Scale with pre- and post-intervention assessment. Secondary measurements would include user satisfaction (System Usability Scale), engagement metrics (session completion rates, conversation length patterns), depression symptoms (PHQ-9), and anxiety symptoms (GAD-7).</w:t>
      </w:r>
    </w:p>
    <w:p>
      <w:r>
        <w:t>Critical to the pilot design is direct comparison of AI-detected personality profiles with validated psychometric assessments (NEO-PI-R or BFI-2) administered at baseline, enabling rigorous measurement of detection accuracy in real users. Licensed clinical psychologists would independently rate conversation quality across the full pilot dataset, moving beyond automated evaluation to clinical judgment about therapeutic appropriateness, potential harms, ethical concerns, and clinical contraindications. Qualitative interviews would capture participant subjective experience regarding perceived personalization, trust in the system, and psychological safety. Concurrent with the pilot study, comprehensive safety monitoring protocols would include weekly check-ins with study staff to systematically assess for adverse events, psychological distress, or system malfunctions.</w:t>
      </w:r>
    </w:p>
    <w:p>
      <w:pPr>
        <w:pStyle w:val="Heading3"/>
      </w:pPr>
      <w:r>
        <w:t>Medium-term Research: Profile Diversity and Cultural Validation (Months 6-18)</w:t>
      </w:r>
    </w:p>
    <w:p>
      <w:r>
        <w:t>A significant research gap is the restriction of testing to extreme personality profiles representing the boundaries of trait distributions. Months 6-12 would expand testing to users with moderate personality trait values (BFI-2 scores within 0.5 standard deviations of population mean), enabling assessment of whether personality adaptation benefits individuals with typical, non-extreme profiles. This phase would generate performance degradation curves showing how system effectiveness decreases as personality profiles transition from extreme toward realistic distributions, establishing which system components generalize to broader populations and which require modification.</w:t>
      </w:r>
    </w:p>
    <w:p>
      <w:r>
        <w:t>Concurrently, cultural validation research (months 12-18) would assess system performance across diverse cultural groups, recognizing that personality expression, communication norms, and therapeutic appropriateness vary fundamentally across cultures. This phase would include systematic testing with participants from Western individualist, East Asian collectivist, and Latin American cultural contexts, with native speaker consultation for prompt translation and cultural adaptation. Rigorous assessment of cultural bias in personality detection and evaluation of whether regulation strategies are perceived as appropriate and helpful across cultural groups would inform development of culture-specific adaptation algorithms if necessary. This research directly addresses the current limitation of calibration exclusively for English language and Western cultural communication patterns.</w:t>
      </w:r>
    </w:p>
    <w:p>
      <w:pPr>
        <w:pStyle w:val="Heading3"/>
      </w:pPr>
      <w:r>
        <w:t>Long-term Research: Sustained Engagement and Regulatory Preparation (Months 18-36)</w:t>
      </w:r>
    </w:p>
    <w:p>
      <w:r>
        <w:t>Extended engagement studies spanning 3-6 months would assess whether personality-adaptive benefits sustain beyond the brief interaction periods of pilot studies, including measurement of relationship development, therapeutic alliance quality (using validated alliance measures), and long-term outcome trajectories. This research phase would examine whether the system demonstrates sustained effectiveness or shows diminishing returns, relationship fatigue, or adaptation failures—critical failure modes that brief studies cannot detect.</w:t>
      </w:r>
    </w:p>
    <w:p>
      <w:r>
        <w:t>Technical development priorities for this phase include multimodal personality detection incorporating voice tone, facial expressions, and physiological signals to overcome the current text-only limitation. Continuous learning mechanisms and adaptation algorithms would enable the system to improve accuracy over time based on individual user interaction patterns. Development of uncertainty quantification methods would enable the system to appropriately acknowledge when confidence in personality assessments is low, and failure mode detection systems would enable recognition when the system is operating outside its competence range.</w:t>
      </w:r>
    </w:p>
    <w:p>
      <w:r>
        <w:t>Regulatory and ethical framework development during this phase is equally critical. Full institutional review board protocols for human subject research must be developed for the pilot study and any subsequent trials. Comprehensive informed consent frameworks must explain AI personality profiling mechanisms, data use, potential limitations, and study procedures in language understandable to potential participants. Safety monitoring plans must establish protocols for detecting and responding to adverse events, psychological distress, or therapeutic misalignment. Healthcare integration research must assess electronic health record compatibility, provider workflow integration, patient education requirements, and quality assurance monitoring systems for ongoing safety assessment. Regulatory pathway planning should include early engagement with FDA and EMA to clarify classification requirements and approval pathways for healthcare AI applications.</w:t>
      </w:r>
    </w:p>
    <w:p>
      <w:pPr>
        <w:pStyle w:val="Heading3"/>
      </w:pPr>
      <w:r>
        <w:t>Overall Implementation Timeline</w:t>
      </w:r>
    </w:p>
    <w:p>
      <w:r>
        <w:t>We estimate 2-3 years for comprehensive human subject validation, moderate profile testing, cultural validation, extended engagement studies, and regulatory preparation before this technology could be considered ready for clinical piloting in controlled healthcare settings. Even following successful pilot outcomes, deployment would require ongoing monitoring, professional oversight, and iterative refinement based on real-world performance data.</w:t>
      </w:r>
    </w:p>
    <w:p>
      <w:pPr>
        <w:pStyle w:val="Heading1"/>
      </w:pPr>
      <w:r>
        <w:t>Conclusions</w:t>
      </w:r>
    </w:p>
    <w:p>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r>
        <w:rPr>
          <w:b/>
        </w:rPr>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pPr>
        <w:pStyle w:val="Heading1"/>
      </w:pPr>
      <w:r>
        <w:t>Data Availability Statement</w:t>
      </w:r>
    </w:p>
    <w:p>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pPr>
        <w:pStyle w:val="Heading1"/>
      </w:pPr>
      <w:r>
        <w:t>Author Contributions</w:t>
      </w:r>
    </w:p>
    <w:p>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pPr>
        <w:pStyle w:val="Heading1"/>
      </w:pPr>
      <w:r>
        <w:t>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