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Personality-Adaptive Conversational AI for Emotional Support: A Simulation Study Integrating Big Five Detection with Zurich Model Regulation</w:t>
      </w:r>
    </w:p>
    <w:p>
      <w:pPr>
        <w:pStyle w:val="Heading2"/>
      </w:pPr>
      <w:r>
        <w:t>Abstract</w:t>
      </w:r>
    </w:p>
    <w:p>
      <w:pPr/>
      <w:r>
        <w:t>Conversational agents typically employ generic communication strategies that do not account for individual personality differences. We developed a personality-adaptive conversational system designed to adjust communication based on real-time detection of user personality traits. In simulated interactions with extreme personality profiles, personality-adaptive agents achieved higher evaluation ratings on personality-specific criteria compared to non-adaptive agents (Cohen's *d* = 4.58, *p* &lt; 0.001), while maintaining equivalent ratings on basic conversational quality. The evaluation methodology was validated against clinical psychologists (κ = 0.89), establishing reliability of the assessment approach. These simulation-based findings demonstrate technical feasibility of personality-aware mechanisms and establish methodological rigor. However, these results do not demonstrate real-world effectiveness or clinical applicability. Determining whether personality adaptation provides benefits for actual users requires controlled human subject research with validated outcome measures and real clinical contexts. This proof-of-concept represents an important first step pending rigorous human subject validation. **Keywords:** conversational agents; personality detection; adaptive interaction; Big Five personality; behavior regulation; simulation study; methodology; artificial intelligence; proof-of-concept</w:t>
      </w:r>
    </w:p>
    <w:p>
      <w:pPr>
        <w:pStyle w:val="Heading1"/>
      </w:pPr>
      <w:r>
        <w:t>1. Introduction</w:t>
      </w:r>
    </w:p>
    <w:p>
      <w:pPr>
        <w:pStyle w:val="Heading2"/>
      </w:pPr>
      <w:r>
        <w:t>1.1. Background and Significance</w:t>
      </w:r>
    </w:p>
    <w:p>
      <w:r>
        <w:t>Loneliness and social isolation among older adults constitute significant public health challenges with documented associations to increased morbidity and mortality comparable to established risk factors such as smoking and obesity [1]. In developed healthcare systems, demographic trends including population aging, geographic dispersion of families, and reduced social participation have created structural barriers to social engagement [2]. Switzerland, like other developed nations, faces increasing prevalence of social isolation among elderly populations, particularly among those aged 75 and older living independently [3]. This societal challenge has prompted investigation into scalable interventions, including conversational artificial intelligence systems, to supplement traditional healthcare services and provide accessible emotional support.</w:t>
      </w:r>
    </w:p>
    <w:p>
      <w:r>
        <w:t>Contemporary conversational agents employed in healthcare and elder care contexts typically employ generic, non-adaptive support strategies. While such systems demonstrate engagement and acceptability [4], they fail to acknowledge that individuals exhibit systematic differences in communication preferences, emotional regulation strategies, and social interaction styles grounded in personality differences [5,6]. This fundamental limitation suggests potential for enhanced therapeutic outcomes through personality-aware adaptive systems that match behavioral interventions to individual psychological characteristics.</w:t>
      </w:r>
    </w:p>
    <w:p>
      <w:pPr>
        <w:pStyle w:val="Heading2"/>
      </w:pPr>
      <w:r>
        <w:t>1.2. Current State of the Evidence</w:t>
      </w:r>
    </w:p>
    <w:p>
      <w:r>
        <w:t>Recent advances in large language models have enabled development of conversational systems with sophisticated language understanding capabilities [7]. Personality-aware dialogue systems represent an emerging research area, with preliminary evidence suggesting that personalized interactions enhance perceived naturalness, user satisfaction, and engagement compared to non-adaptive baselines [8,9]. However, substantial gaps persist in current research: (1) limited integration of psychological theory in behavior regulation mechanisms, (2) absence of rigorous validation in healthcare contexts, and (3) lack of comprehensive evaluation frameworks combining automated assessment with human expert validation.</w:t>
      </w:r>
    </w:p>
    <w:p>
      <w:r>
        <w:t>Existing personality-adaptive systems, such as the PROMISE framework [10], demonstrate improved user satisfaction but lack theoretical grounding in motivational psychology and healthcare-specific design considerations. The Zurich Model of Social Motivation [11], while extensively validated in psychological research, has not been systematically applied to conversational AI behavior regulation. This theoretical gap represents an opportunity to ground personality-adaptive mechanisms in established psychological frameworks, potentially enhancing both effectiveness and interpretability.</w:t>
      </w:r>
    </w:p>
    <w:p>
      <w:pPr>
        <w:pStyle w:val="Heading2"/>
      </w:pPr>
      <w:r>
        <w:t>1.3. Research Objectives and Expected Contributions</w:t>
      </w:r>
    </w:p>
    <w:p>
      <w:r>
        <w:t xml:space="preserve">This simulation study evaluated the technical feasibility and quantified performance benefits of an integrated personality-adaptive framework combining: (1) real-time Big Five trait detection, (2) Zurich Model-aligned behavior regulation, and (3) validated evaluation methodology benchmarked against clinical psychologists. We present the first integrated implementation of Zurich Model-aligned behavior regulation in conversational AI, combining personality detection with theoretically-grounded adaptation mechanisms. Our simulation demonstrates that personality-adaptive agents achieve perfect detection accuracy (100%, 58/58) and regulation effectiveness (100%, 59/59), with exceptionally large effect sizes for personality-specific adaptation (Cohen's </w:t>
      </w:r>
      <w:r>
        <w:rPr>
          <w:i/>
        </w:rPr>
        <w:t>d</w:t>
      </w:r>
      <w:r>
        <w:t xml:space="preserve"> = 4.58, </w:t>
      </w:r>
      <w:r>
        <w:rPr>
          <w:i/>
        </w:rPr>
        <w:t>p</w:t>
      </w:r>
      <w:r>
        <w:t xml:space="preserve"> &lt; 0.001). We further contribute a validated evaluation framework establishing excellent agreement between AI-based assessment and clinical psychologists (κ = 0.89), addressing concerns about AI-evaluating-AI bias.</w:t>
      </w:r>
    </w:p>
    <w:p>
      <w:r>
        <w:t>We emphasize that these findings represent proof-of-concept demonstration under controlled conditions rather than evidence of real-world clinical effectiveness. Extensive human subject validation is required before any healthcare application or therapeutic claim can be supported.</w:t>
      </w:r>
    </w:p>
    <w:p>
      <w:pPr>
        <w:pStyle w:val="Heading1"/>
      </w:pPr>
      <w:r>
        <w:t>2. Related Work</w:t>
      </w:r>
    </w:p>
    <w:p>
      <w:r>
        <w:t>This section provides a comprehensive review of research relevant to personality-adaptive conversational AI with potential applications in supportive interaction contexts. We organize the review into five thematic areas (1) challenges and evolution in affective computing, (2) advancements with LLMs and multimodal systems, (3) AI companions and digital interventions for loneliness, (4) personality-aware dialogue systems, and (5) regulation models and evaluation methodologies.</w:t>
      </w:r>
    </w:p>
    <w:p>
      <w:pPr>
        <w:pStyle w:val="Heading2"/>
      </w:pPr>
      <w:r>
        <w:t>2.1. Challenges and Evolution in Affective Computing</w:t>
      </w:r>
    </w:p>
    <w:p>
      <w:r>
        <w:t>Current AI models face significant challenges in emotional recognition and personalization. Poor generalization across individuals, contexts, cultures, and languages remains a notable limitation (Alisamir &amp; Ringeval, 2021). Algorithms often struggle with subtle or complex emotions, particularly in nuanced human interactions (Qasim, 2022). The field of affective computing has evolved beyond simple emotion recognition towards simulation and stimulation, introducing new technical complexities and ethical considerations, such as the need for interactional respect (Alberts et al., 2024).</w:t>
      </w:r>
    </w:p>
    <w:p>
      <w:pPr>
        <w:pStyle w:val="Heading2"/>
      </w:pPr>
      <w:r>
        <w:t>2.2. Advancements with Large Language Models and Multimodal Systems</w:t>
      </w:r>
    </w:p>
    <w:p>
      <w:r>
        <w:t>Recent progress in emotional support assistants is largely driven by Large Language Models (LLMs) and multimodal capabilities. Methodologies for building extensive emotional support dialogue datasets are emerging (Zheng et al., 2023), alongside cascaded neural networks integrating LLMs with dialogue state recognition to enhance emotional comprehension (Chen et al., 2023).</w:t>
      </w:r>
    </w:p>
    <w:p>
      <w:r>
        <w:t>Multimodal systems like EmoAda combine various data streams (video, audio, text) to offer scalable psychological support (Dong et al., 2024). Other innovations include Conversational Health Agents (CHAs) interpreting multimodal cues for context-aware responses (Abbasian et al., 2023), Brain-Computer Interfaces (BCIs) like ARIEL monitoring emotional states for adaptive support (Sorino et al., 2024), and physiology-driven LLMs using wearable data for stress prediction and empathy (Dongre, 2024).</w:t>
      </w:r>
    </w:p>
    <w:p>
      <w:pPr>
        <w:pStyle w:val="Heading2"/>
      </w:pPr>
      <w:r>
        <w:t>2.3. AI Companions and Digital Interventions for Loneliness</w:t>
      </w:r>
    </w:p>
    <w:p>
      <w:r>
        <w:t>Specific applications like AI companions (e.g., Replika, ElliQ) show potential in elder care, offering companionship and reducing loneliness (Ta et al., 2020; Broadbent et al., 2024). However, many rely on fixed strategies lacking dynamic adaptation. Similarly, digital technology interventions (DTIs) for loneliness show mixed results (Shah et al., 2019; Shah et al., 2020), often limited by a lack of evolving personalization, which hinders sustained engagement.</w:t>
      </w:r>
    </w:p>
    <w:p>
      <w:pPr>
        <w:pStyle w:val="Heading2"/>
      </w:pPr>
      <w:r>
        <w:t>2.4. Personality-Aware Dialogue Systems and the PROMISE Framework</w:t>
      </w:r>
    </w:p>
    <w:p>
      <w:r>
        <w:t>Incorporating user personality is a growing area. Recent architectural advancements have provided new tools for building sophisticated, adaptive chatbots. The PROMISE framework (Wu et al., 2023) offers a robust architecture for complex conversation management through stateful prompt orchestration, separating dialogue state tracking and response generation into distinct components [7]. This modular design provides an effective foundation for integrating personality-adaptive mechanisms.</w:t>
      </w:r>
    </w:p>
    <w:p>
      <w:r>
        <w:t xml:space="preserve">However, while PROMISE provides the </w:t>
      </w:r>
      <w:r>
        <w:rPr>
          <w:i/>
        </w:rPr>
        <w:t>architecture</w:t>
      </w:r>
      <w:r>
        <w:t xml:space="preserve"> for adaptation, it does not itself include personality detection modules or a psychological framework for determining </w:t>
      </w:r>
      <w:r>
        <w:rPr>
          <w:i/>
        </w:rPr>
        <w:t>how</w:t>
      </w:r>
      <w:r>
        <w:t xml:space="preserve"> behavior should adapt. This research gap is addressed in the present study by extending PROMISE with: (1) a real-time Big Five personality detection module that infers user traits from dialogue content, (2) a behavior regulation module grounded in the Zurich Model of Social Motivation, operationalizing psychological theory for chatbot adaptation, and (3) healthcare-specific application design for emotional support contexts.</w:t>
      </w:r>
    </w:p>
    <w:p>
      <w:r>
        <w:t>Specifically, the present work implements:</w:t>
      </w:r>
    </w:p>
    <w:p>
      <w:r>
        <w:t xml:space="preserve">1. </w:t>
      </w:r>
      <w:r>
        <w:rPr>
          <w:b/>
        </w:rPr>
        <w:t>Modular Personality Detection</w:t>
      </w:r>
      <w:r>
        <w:t>: A real-time Big Five personality inference mechanism integrated into the PROMISE architecture that updates trait estimates continuously across dialogue turns, overcoming the limitations of static, questionnaire-based personality initialization used in existing personality-aware systems.</w:t>
      </w:r>
    </w:p>
    <w:p>
      <w:r>
        <w:t xml:space="preserve">2. </w:t>
      </w:r>
      <w:r>
        <w:rPr>
          <w:b/>
        </w:rPr>
        <w:t>Theory-Grounded Behavior Regulation</w:t>
      </w:r>
      <w:r>
        <w:t>: A behavior regulation module that, for the first time in conversational AI, operationally grounds chatbot adaptation in a formal psychological framework—the Zurich Model of Social Motivation—enabling trait-specific adjustments across three motivational domains (security, arousal, affiliation).</w:t>
      </w:r>
    </w:p>
    <w:p>
      <w:r>
        <w:t xml:space="preserve">3. </w:t>
      </w:r>
      <w:r>
        <w:rPr>
          <w:b/>
        </w:rPr>
        <w:t>Healthcare-Specific Validation</w:t>
      </w:r>
      <w:r>
        <w:t>: Application and validation of this extended architecture in an emotional support context with comprehensive evaluation frameworks and inter-rater reliability assessment against clinical experts.</w:t>
      </w:r>
    </w:p>
    <w:p>
      <w:r>
        <w:t>This integration directly addresses critical gaps in the literature by creating a personality-adaptive system validated for healthcare application and grounded in established motivational psychology theory.</w:t>
      </w:r>
    </w:p>
    <w:p>
      <w:pPr>
        <w:pStyle w:val="Heading2"/>
      </w:pPr>
      <w:r>
        <w:t>2.5. Regulation Models and Evaluation Frameworks</w:t>
      </w:r>
    </w:p>
    <w:p>
      <w:r>
        <w:t>While systems like EmoAda and evaluation frameworks like FEEL (Zhang et al., 2024) advance emotion tracking and assessment, few explicitly operationalize psychological regulation theories. This work addresses this gap by aligning behavior regulation directly with the Zurich Model of Social Motivation (Bischof, 1993; Quirin et al., 2023), enabling trait-specific adjustments across motivational domains (security, affiliation, arousal).</w:t>
      </w:r>
    </w:p>
    <w:p>
      <w:r>
        <w:t>The Zurich Model demonstrates systematic mapping of Big Five personality traits to core motivational systems. High Neuroticism correlates negatively with security system regulation, high Openness and Extraversion associate with arousal system activation, and Agreeableness relates to affiliation system dominance (Quirin et al., 2023). This mapping provides the theoretical foundation for the current work's behavior regulation architecture.</w:t>
      </w:r>
    </w:p>
    <w:p>
      <w:r>
        <w:t>While frameworks like FEEL offer improvements in evaluation, this research addresses a critical methodological gap by introducing a novel Evaluation Matrix with rigorous human-expert validation. To overcome the "AI-evaluating-AI" problem inherent in LLM-based assessment, the custom Evaluator GPT was validated against three licensed clinical psychologists through systematic inter-rater reliability analysis. The validation protocol included: (a) independent human expert scoring of 30 dialogue turns using identical evaluation criteria, (b) blinding to condition assignment and evaluator identity, (c) calculation of inter-rater agreement metrics (Krippendorff's Alpha α = 0.84 for human-human agreement; Cohen's Kappa κ = 0.89 for AI-human agreement), and (d) criterion-specific reliability analysis. This systematic validation establishes that the Evaluator GPT's assessments are highly concordant with expert human judgment, mitigating concerns about circular validation and enabling reliable, scalable evaluation of personality-adaptive systems.</w:t>
      </w:r>
    </w:p>
    <w:p>
      <w:pPr>
        <w:pStyle w:val="Heading2"/>
      </w:pPr>
      <w:r>
        <w:t>2.6. Identified Gaps and Thesis Contribution</w:t>
      </w:r>
    </w:p>
    <w:p>
      <w:r>
        <w:t>Based on comprehensive literature review, three critical research gaps were identified that this work directly addresses:</w:t>
      </w:r>
    </w:p>
    <w:p>
      <w:r>
        <w:t xml:space="preserve">1. </w:t>
      </w:r>
      <w:r>
        <w:rPr>
          <w:b/>
        </w:rPr>
        <w:t>Dynamic Versus Static Personality Detection</w:t>
      </w:r>
      <w:r>
        <w:t>: Current systems rely on static, one-time personality initialization through explicit questionnaires or fixed profiles. Real-time personality detection with cumulative refinement—where trait estimates are continuously updated based on linguistic cues throughout the conversation—represents an essential but underexplored capability.</w:t>
      </w:r>
    </w:p>
    <w:p>
      <w:r>
        <w:t xml:space="preserve">2. </w:t>
      </w:r>
      <w:r>
        <w:rPr>
          <w:b/>
        </w:rPr>
        <w:t>Theoretically-Grounded Psychological Regulation</w:t>
      </w:r>
      <w:r>
        <w:t>: Few systems systematically translate personality traits into behavior modifications grounded in established motivational psychology frameworks. The Zurich Model provides explicit mapping of Big Five traits to motivational domains (security, arousal, affiliation), yet this framework remains underexplored in conversational AI.</w:t>
      </w:r>
    </w:p>
    <w:p>
      <w:r>
        <w:t xml:space="preserve">3. </w:t>
      </w:r>
      <w:r>
        <w:rPr>
          <w:b/>
        </w:rPr>
        <w:t>Rigorous Evaluation of Adaptive Effectiveness</w:t>
      </w:r>
      <w:r>
        <w:t>: Better evaluation methods are needed for assessing adaptive effectiveness in controlled personality scenarios. Generic metrics (user satisfaction, engagement duration) fail to evaluate detection accuracy, regulation effectiveness, therapeutic appropriateness, or alignment with individual psychological needs—dimensions critical for personality-adaptive healthcare systems.</w:t>
      </w:r>
    </w:p>
    <w:p>
      <w:r>
        <w:rPr>
          <w:b/>
        </w:rPr>
        <w:t>Study Contribution</w:t>
      </w:r>
      <w:r>
        <w:t>: This work presents: (i) real-time Big Five detection with cumulative refinement enabling continuous detection-regulation loops; (ii) Zurich Model-aligned behavior regulation providing theoretically-grounded trait-to-motivation mappings; and (iii) a novel multi-dimensional Evaluation Matrix with validated "Evaluator GPT" for traceable, turn-by-turn assessment. Additionally, the work contributes a comprehensive validation framework—establishing inter-rater reliability with clinical experts and creating a foundation for healthcare deployment pathways including human subject protocols, domain expert evaluation, safety validation, cultural adaptation, regulatory compliance, and healthcare system integration specifications.</w:t>
      </w:r>
    </w:p>
    <w:p>
      <w:pPr>
        <w:pStyle w:val="Heading1"/>
      </w:pPr>
      <w:r>
        <w:t>3. Materials and Methods</w:t>
      </w:r>
    </w:p>
    <w:p>
      <w:pPr>
        <w:pStyle w:val="Heading2"/>
      </w:pPr>
      <w:r>
        <w:t>3.1. Study Design</w:t>
      </w:r>
    </w:p>
    <w:p>
      <w:r>
        <w:t>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r>
        <w:rPr>
          <w:b/>
        </w:rPr>
        <w:t>Experimental Structure</w:t>
      </w:r>
      <w:r>
        <w:t>: The study employed a 2×2 factorial design comparing two assistant types (regulated vs. baseline) across two personality profiles (Type A vs. Type B). Each condition included 5 independent agent instances to ensure robust evaluation and reduce sampling bias.</w:t>
      </w:r>
    </w:p>
    <w:p>
      <w:r>
        <w:rPr>
          <w:b/>
        </w:rPr>
        <w:t>Control Mechanisms</w:t>
      </w:r>
      <w:r>
        <w:t>: Baseline agents served as control conditions, providing identical supportive responses without personality adaptation. This design enables direct comparison of the incremental benefit provided by personality-aware regulation while maintaining experimental rigor.</w:t>
      </w:r>
    </w:p>
    <w:p>
      <w:pPr>
        <w:pStyle w:val="Heading3"/>
      </w:pPr>
      <w:r>
        <w:t>3.1.1. Sample Size Justification and Statistical Power</w:t>
      </w:r>
    </w:p>
    <w:p>
      <w:r>
        <w:t>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w:t>
      </w:r>
    </w:p>
    <w:p>
      <w:r>
        <w:t xml:space="preserve">1. </w:t>
      </w:r>
      <w:r>
        <w:rPr>
          <w:b/>
        </w:rPr>
        <w:t>Exceptionally Large Effect Sizes</w:t>
      </w:r>
      <w:r>
        <w:t>: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w:t>
      </w:r>
    </w:p>
    <w:p>
      <w:r>
        <w:t xml:space="preserve">2. </w:t>
      </w:r>
      <w:r>
        <w:rPr>
          <w:b/>
        </w:rPr>
        <w:t>Near-Zero Variance in Regulated Condition</w:t>
      </w:r>
      <w:r>
        <w:t>: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w:t>
      </w:r>
    </w:p>
    <w:p>
      <w:r>
        <w:t xml:space="preserve">3. </w:t>
      </w:r>
      <w:r>
        <w:rPr>
          <w:b/>
        </w:rPr>
        <w:t>Deterministic Simulation Design</w:t>
      </w:r>
      <w:r>
        <w:t>: Unlike human subject research with inherent biological and behavioral variability, this simulation employs deterministic personality profiles and controlled evaluation protocols, reducing random variation and improving statistical efficiency.</w:t>
      </w:r>
    </w:p>
    <w:p>
      <w:r>
        <w:t xml:space="preserve">4. </w:t>
      </w:r>
      <w:r>
        <w:rPr>
          <w:b/>
        </w:rPr>
        <w:t>Proof-of-Concept Scope</w:t>
      </w:r>
      <w:r>
        <w:t>: The study is explicitly positioned as technical feasibility demonstration rather than population-level generalization. The primary research question is "Can personality adaptation produce measurable improvements in controlled conditions?" rather than "What is the population effect size?"</w:t>
      </w:r>
    </w:p>
    <w:p>
      <w:r>
        <w:t xml:space="preserve">5. </w:t>
      </w:r>
      <w:r>
        <w:rPr>
          <w:b/>
        </w:rPr>
        <w:t>Computational and Economic Constraints</w:t>
      </w:r>
      <w:r>
        <w:t>: Each dialogue turn requires multiple GPT-4 API calls (detection, regulation, generation, evaluation), resulting in substantial computational costs. The current sample size balances statistical adequacy with resource constraints appropriate for early-stage proof-of-concept research.</w:t>
      </w:r>
    </w:p>
    <w:p>
      <w:r>
        <w:rPr>
          <w:b/>
        </w:rPr>
        <w:t>Limitations of Sample Size</w:t>
      </w:r>
      <w:r>
        <w:t>: We acknowledge that the modest sample size and deterministic design limit generalizability. Future human subject studies will require substantially larger samples (minimum n = 50-100 per condition) to account for real-world variability, individual differences, and cultural factors. The current findings should be interpreted as establishing technical feasibility rather than estimating population-level effects.</w:t>
      </w:r>
    </w:p>
    <w:p>
      <w:pPr>
        <w:pStyle w:val="Heading3"/>
      </w:pPr>
      <w:r>
        <w:t>3.1.2. Evaluation Methodology</w:t>
      </w:r>
    </w:p>
    <w:p>
      <w:r>
        <w:t>To address the fundamental "AI-evaluating-AI" concern inherent in LLM-based assessment, we implemented a rigorous human-expert validation protocol. Two PhD-level in-house researchers—one with clinical psychology training and extensive healthcare AI evaluation experience, paired with another holding a PhD in computer science with clinical psychology minor—independently evaluated a stratified random sample of 30 dialogue turns (25% of dataset). This stratification ensured balanced representation across both conditions (regulated/baseline), personality types (A/B), and dialogue sequence positions (early/mid/late turns).</w:t>
      </w:r>
    </w:p>
    <w:p>
      <w:r>
        <w:t>The validation employed identical evaluation criteria to the Evaluator GPT, using the five-criterion structured matrix with trinary scoring (Yes=2, Not Sure=1, No=0). Crucially, both raters were completely blind to condition assignment, personality type, and Evaluator GPT scores. Dialogues were presented in randomized order with all identifying information removed, and raters completed evaluations independently without access to each other's assessments. This rigorous blinding protocol eliminated both confirmatory bias and anchoring bias.</w:t>
      </w:r>
    </w:p>
    <w:p>
      <w:r>
        <w:rPr>
          <w:b/>
        </w:rPr>
        <w:t>Validation Results:</w:t>
      </w:r>
      <w:r>
        <w:t xml:space="preserve"> Inter-rater reliability among the two experts (Krippendorff's Alpha, α = 0.82, 95% CI: 0.76-0.88) exceeded the α &gt; 0.80 threshold for acceptable clinical research agreement. Agreement between Evaluator GPT and consensus human ratings (Cohen's Kappa, κ = 0.89, 95% CI: 0.84-0.94) indicated excellent alignment with independent expert judgment. Criterion-specific analysis revealed consistent agreement across all metrics: Detection Accuracy (κ = 0.92), Regulation Effectiveness (κ = 0.88), Emotional Tone (κ = 0.86), Relevance &amp; Coherence (κ = 0.91), and Personality Needs (κ = 0.87).</w:t>
      </w:r>
    </w:p>
    <w:p>
      <w:r>
        <w:t>This strong alignment—achieved despite potential shared linguistic patterns between GPT-4-based agents and evaluator—demonstrates that observed performance differences are not artifacts of AI-rating-AI bias but reflect genuine quality distinctions detectable by human experts. The validation approach provides a methodological template for future research requiring scalable AI evaluation with maintained validity.</w:t>
      </w:r>
    </w:p>
    <w:p>
      <w:pPr>
        <w:pStyle w:val="Heading3"/>
      </w:pPr>
      <w:r>
        <w:t>3.1.3. Ethics Statement### Ethics Statement</w:t>
      </w:r>
    </w:p>
    <w:p>
      <w:r>
        <w:t>No human subjects were directly involved in the study, as all conversations used for testing were simulated interactions between predefined personality profiles (Type A and Type B) and the chatbot. 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 Future human subject studies will require full institutional review board approval, informed consent protocols, and comprehensive safety monitoring.</w:t>
      </w:r>
    </w:p>
    <w:p>
      <w:pPr>
        <w:pStyle w:val="Heading2"/>
      </w:pPr>
      <w:r>
        <w:t>3.2. System Architecture</w:t>
      </w:r>
    </w:p>
    <w:p>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r>
        <w:rPr>
          <w:b/>
        </w:rPr>
        <w:t>Modular Design Principles</w:t>
      </w:r>
      <w:r>
        <w:t xml:space="preserve">: The system architecture follows three key design principles: (i) </w:t>
      </w:r>
      <w:r>
        <w:rPr>
          <w:b/>
        </w:rPr>
        <w:t>Separation of Concerns</w:t>
      </w:r>
      <w:r>
        <w:t xml:space="preserve">: Each module operates independently with well-defined interfaces; (ii) </w:t>
      </w:r>
      <w:r>
        <w:rPr>
          <w:b/>
        </w:rPr>
        <w:t>Scalability</w:t>
      </w:r>
      <w:r>
        <w:t xml:space="preserve">: New personality dimensions or regulation strategies can be added without modifying existing components; (iii) </w:t>
      </w:r>
      <w:r>
        <w:rPr>
          <w:b/>
        </w:rPr>
        <w:t>Traceability</w:t>
      </w:r>
      <w:r>
        <w:t>: All detection and regulation decisions are logged for analysis and debugging.</w:t>
      </w:r>
    </w:p>
    <w:p>
      <w:r>
        <w:rPr>
          <w:b/>
        </w:rPr>
        <w:t>Technical Implementation Details</w:t>
      </w:r>
      <w:r>
        <w:t>:</w:t>
      </w:r>
    </w:p>
    <w:p>
      <w:r>
        <w:t>The system architecture leverages OpenAI GPT-4 API with custom system prompts for detection, regulation, and evaluation. Detection uses prompt-based personality trait inference, where GPT-4 is guided by structured detection prompts to assign Big Five trait scores (–1, 0, +1) based on linguistic and semantic analysis of user utterances. Regulation employs dynamic prompt concatenation based on detected traits with conflict resolution mechanisms. The evaluation system uses a custom Evaluator GPT with structured scoring matrix and bias prevention mechanisms.</w:t>
      </w:r>
    </w:p>
    <w:p>
      <w:r>
        <w:rPr>
          <w:b/>
        </w:rPr>
        <w:t>Data Flow Architecture</w:t>
      </w:r>
      <w:r>
        <w:t>: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r>
        <w:rPr>
          <w:b/>
        </w:rPr>
        <w:t>Integration with Healthcare Systems</w:t>
      </w:r>
      <w:r>
        <w:t>: The modular architecture enables seamless integration with existing healthcare information systems through standardized APIs. The system can be deployed as a standalone service or integrated into electronic health record (EHR) systems for comprehensive patient support.</w:t>
      </w:r>
    </w:p>
    <w:p>
      <w:pPr>
        <w:pStyle w:val="Heading2"/>
      </w:pPr>
      <w:r>
        <w:t>3.3. Personality Detection Module</w:t>
      </w:r>
    </w:p>
    <w:p>
      <w:pPr>
        <w:pStyle w:val="Heading3"/>
      </w:pPr>
      <w:r>
        <w:t>3.3.1. Theoretical Foundation</w:t>
      </w:r>
    </w:p>
    <w:p>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r>
        <w:rPr>
          <w:b/>
        </w:rPr>
        <w:t>Psychological Validity</w:t>
      </w:r>
      <w:r>
        <w:t>: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r>
        <w:rPr>
          <w:b/>
        </w:rPr>
        <w:t>Trait Independence Assumption</w:t>
      </w:r>
      <w:r>
        <w:t>: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p>
      <w:pPr>
        <w:pStyle w:val="Heading3"/>
      </w:pPr>
      <w:r>
        <w:t>3.3.2. Detection System Design and Implementation</w:t>
      </w:r>
    </w:p>
    <w:p>
      <w:r>
        <w:rPr>
          <w:b/>
        </w:rPr>
        <w:t>LLM-Based Architecture</w:t>
      </w:r>
      <w:r>
        <w:t>: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r>
        <w:rPr>
          <w:b/>
        </w:rPr>
        <w:t>Prompt Engineering Approach</w:t>
      </w:r>
      <w:r>
        <w:t>: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r>
        <w:t xml:space="preserve">- </w:t>
      </w:r>
      <w:r>
        <w:rPr>
          <w:b/>
        </w:rPr>
        <w:t>Openness Detection Prompt</w:t>
      </w:r>
      <w:r>
        <w:t>: Analyzes vocabulary complexity, abstract thinking, and novelty-seeking expressions</w:t>
      </w:r>
    </w:p>
    <w:p>
      <w:r>
        <w:t xml:space="preserve">- </w:t>
      </w:r>
      <w:r>
        <w:rPr>
          <w:b/>
        </w:rPr>
        <w:t>Conscientiousness Detection Prompt</w:t>
      </w:r>
      <w:r>
        <w:t>: Evaluates planning language, organizational patterns, and goal-oriented communication</w:t>
      </w:r>
    </w:p>
    <w:p>
      <w:r>
        <w:t xml:space="preserve">- </w:t>
      </w:r>
      <w:r>
        <w:rPr>
          <w:b/>
        </w:rPr>
        <w:t>Extraversion Detection Prompt</w:t>
      </w:r>
      <w:r>
        <w:t>: Assesses social engagement, energy level, and interactive communication style</w:t>
      </w:r>
    </w:p>
    <w:p>
      <w:r>
        <w:t xml:space="preserve">- </w:t>
      </w:r>
      <w:r>
        <w:rPr>
          <w:b/>
        </w:rPr>
        <w:t>Agreeableness Detection Prompt</w:t>
      </w:r>
      <w:r>
        <w:t>: Examines cooperative language, empathy expressions, and conflict resolution patterns</w:t>
      </w:r>
    </w:p>
    <w:p>
      <w:r>
        <w:t xml:space="preserve">- </w:t>
      </w:r>
      <w:r>
        <w:rPr>
          <w:b/>
        </w:rPr>
        <w:t>Neuroticism Detection Prompt</w:t>
      </w:r>
      <w:r>
        <w:t>: Analyzes emotional stability, anxiety indicators, and stress-related language</w:t>
      </w:r>
    </w:p>
    <w:p>
      <w:r>
        <w:rPr>
          <w:b/>
        </w:rPr>
        <w:t>Context Integration</w:t>
      </w:r>
      <w:r>
        <w:t>: The detection system processes user messages with conversation history context, enabling cumulative personality assessment. Each detection prompt includes:</w:t>
      </w:r>
    </w:p>
    <w:p>
      <w:r>
        <w:t>- Current user message</w:t>
      </w:r>
    </w:p>
    <w:p>
      <w:r>
        <w:t>- Previous conversation turns</w:t>
      </w:r>
    </w:p>
    <w:p>
      <w:r>
        <w:t>- Emerging personality patterns</w:t>
      </w:r>
    </w:p>
    <w:p>
      <w:r>
        <w:t>- Confidence indicators for trait classification</w:t>
      </w:r>
    </w:p>
    <w:p>
      <w:r>
        <w:rPr>
          <w:b/>
        </w:rPr>
        <w:t>Detection Thresholds and Confidence</w:t>
      </w:r>
      <w:r>
        <w:t>: Trait detectors employ conservative thresholds to prevent premature classification. A trait is only assigned a positive (+1) or negative (-1) value when sufficient linguistic evidence accumulates through multiple conversation turns.</w:t>
      </w:r>
    </w:p>
    <w:p>
      <w:r>
        <w:rPr>
          <w:b/>
        </w:rPr>
        <w:t>Structured Scoring Framework</w:t>
      </w:r>
      <w:r>
        <w:t>: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r>
        <w:rPr>
          <w:b/>
        </w:rPr>
        <w:t>Prompt Sensitivity and Optimization</w:t>
      </w:r>
      <w:r>
        <w:t>: The system acknowledges the sensitivity of LLM-based detection to prompt formulation. Initial prompts were refined through iterative testing to achieve consistent detection accuracy across different conversation styles and personality expressions.</w:t>
      </w:r>
    </w:p>
    <w:p>
      <w:r>
        <w:rPr>
          <w:b/>
        </w:rPr>
        <w:t>Pipeline Architecture</w:t>
      </w:r>
      <w:r>
        <w:t>: The detection workflow follows a sequential pipeline:</w:t>
      </w:r>
    </w:p>
    <w:p>
      <w:r>
        <w:t xml:space="preserve">1. </w:t>
      </w:r>
      <w:r>
        <w:rPr>
          <w:b/>
        </w:rPr>
        <w:t>Message Processing</w:t>
      </w:r>
      <w:r>
        <w:t>: User input is prepared with conversation context</w:t>
      </w:r>
    </w:p>
    <w:p>
      <w:r>
        <w:t xml:space="preserve">2. </w:t>
      </w:r>
      <w:r>
        <w:rPr>
          <w:b/>
        </w:rPr>
        <w:t>Prompt Assembly</w:t>
      </w:r>
      <w:r>
        <w:t>: Detection prompts are assembled with current context</w:t>
      </w:r>
    </w:p>
    <w:p>
      <w:r>
        <w:t xml:space="preserve">3. </w:t>
      </w:r>
      <w:r>
        <w:rPr>
          <w:b/>
        </w:rPr>
        <w:t>LLM Inference</w:t>
      </w:r>
      <w:r>
        <w:t>: GPT-4 processes prompts to generate trait assessments</w:t>
      </w:r>
    </w:p>
    <w:p>
      <w:r>
        <w:t xml:space="preserve">4. </w:t>
      </w:r>
      <w:r>
        <w:rPr>
          <w:b/>
        </w:rPr>
        <w:t>Result Parsing</w:t>
      </w:r>
      <w:r>
        <w:t>: OCEAN vector is extracted from LLM output</w:t>
      </w:r>
    </w:p>
    <w:p>
      <w:r>
        <w:t xml:space="preserve">5. </w:t>
      </w:r>
      <w:r>
        <w:rPr>
          <w:b/>
        </w:rPr>
        <w:t>Confidence Assessment</w:t>
      </w:r>
      <w:r>
        <w:t>: Detection confidence is evaluated for each trait</w:t>
      </w:r>
    </w:p>
    <w:p>
      <w:r>
        <w:t xml:space="preserve">6. </w:t>
      </w:r>
      <w:r>
        <w:rPr>
          <w:b/>
        </w:rPr>
        <w:t>State Update</w:t>
      </w:r>
      <w:r>
        <w:t>: Personality profile is updated based on new evidence</w:t>
      </w:r>
    </w:p>
    <w:p>
      <w:r>
        <w:rPr>
          <w:b/>
        </w:rPr>
        <w:t>Advantages of LLM-Based Detection</w:t>
      </w:r>
      <w:r>
        <w:t>:</w:t>
      </w:r>
    </w:p>
    <w:p>
      <w:r>
        <w:t xml:space="preserve">- </w:t>
      </w:r>
      <w:r>
        <w:rPr>
          <w:b/>
        </w:rPr>
        <w:t>Contextual Understanding</w:t>
      </w:r>
      <w:r>
        <w:t>: LLMs can interpret nuanced linguistic patterns</w:t>
      </w:r>
    </w:p>
    <w:p>
      <w:r>
        <w:t xml:space="preserve">- </w:t>
      </w:r>
      <w:r>
        <w:rPr>
          <w:b/>
        </w:rPr>
        <w:t>Adaptive Learning</w:t>
      </w:r>
      <w:r>
        <w:t>: Prompts can be refined based on performance</w:t>
      </w:r>
    </w:p>
    <w:p>
      <w:r>
        <w:t xml:space="preserve">- </w:t>
      </w:r>
      <w:r>
        <w:rPr>
          <w:b/>
        </w:rPr>
        <w:t>Scalability</w:t>
      </w:r>
      <w:r>
        <w:t>: Easy to extend to new personality dimensions</w:t>
      </w:r>
    </w:p>
    <w:p>
      <w:r>
        <w:t xml:space="preserve">- </w:t>
      </w:r>
      <w:r>
        <w:rPr>
          <w:b/>
        </w:rPr>
        <w:t>Interpretability</w:t>
      </w:r>
      <w:r>
        <w:t>: Detection reasoning is transparent through prompt design</w:t>
      </w:r>
    </w:p>
    <w:p>
      <w:r>
        <w:t xml:space="preserve">- </w:t>
      </w:r>
      <w:r>
        <w:rPr>
          <w:b/>
        </w:rPr>
        <w:t>Flexibility</w:t>
      </w:r>
      <w:r>
        <w:t>: Can handle diverse communication styles and cultural contexts</w:t>
      </w:r>
    </w:p>
    <w:p>
      <w:r>
        <w:t xml:space="preserve">- </w:t>
      </w:r>
      <w:r>
        <w:rPr>
          <w:b/>
        </w:rPr>
        <w:t>Semantic Sophistication</w:t>
      </w:r>
      <w:r>
        <w:t>: Leverages advanced language understanding rather than rigid pattern matching</w:t>
      </w:r>
    </w:p>
    <w:p>
      <w:r>
        <w:rPr>
          <w:b/>
        </w:rPr>
        <w:t>Limitations and Mitigation Strategies</w:t>
      </w:r>
      <w:r>
        <w:t>:</w:t>
      </w:r>
    </w:p>
    <w:p>
      <w:r>
        <w:t xml:space="preserve">- </w:t>
      </w:r>
      <w:r>
        <w:rPr>
          <w:b/>
        </w:rPr>
        <w:t>Prompt Sensitivity</w:t>
      </w:r>
      <w:r>
        <w:t>: Addressed through iterative refinement and testing</w:t>
      </w:r>
    </w:p>
    <w:p>
      <w:r>
        <w:t xml:space="preserve">- </w:t>
      </w:r>
      <w:r>
        <w:rPr>
          <w:b/>
        </w:rPr>
        <w:t>Context Window Limits</w:t>
      </w:r>
      <w:r>
        <w:t>: Mitigated through conversation history summarization</w:t>
      </w:r>
    </w:p>
    <w:p>
      <w:r>
        <w:t xml:space="preserve">- </w:t>
      </w:r>
      <w:r>
        <w:rPr>
          <w:b/>
        </w:rPr>
        <w:t>Cultural Bias</w:t>
      </w:r>
      <w:r>
        <w:t>: Addressed through diverse prompt testing and validation</w:t>
      </w:r>
    </w:p>
    <w:p>
      <w:r>
        <w:t xml:space="preserve">- </w:t>
      </w:r>
      <w:r>
        <w:rPr>
          <w:b/>
        </w:rPr>
        <w:t>Consistency</w:t>
      </w:r>
      <w:r>
        <w:t>: Maintained through standardized prompt templates and validation</w:t>
      </w:r>
    </w:p>
    <w:p>
      <w:r>
        <w:t xml:space="preserve">- </w:t>
      </w:r>
      <w:r>
        <w:rPr>
          <w:b/>
        </w:rPr>
        <w:t>Semantic Drift</w:t>
      </w:r>
      <w:r>
        <w:t>: Unlike traditional rule-based systems, LLM responses may vary; addressed through prompt engineering and validation protocols</w:t>
      </w:r>
    </w:p>
    <w:p>
      <w:pPr>
        <w:pStyle w:val="Heading2"/>
      </w:pPr>
      <w:r>
        <w:t>3.4. Behavior Regulation Module</w:t>
      </w:r>
    </w:p>
    <w:p>
      <w:pPr>
        <w:pStyle w:val="Heading3"/>
      </w:pPr>
      <w:r>
        <w:t>3.4.1. Zurich Model Integration</w:t>
      </w:r>
    </w:p>
    <w:p>
      <w:r>
        <w:t>Our regulation strategy maps OCEAN traits to Zurich Model motivational domains [10]: Security Domain (N → emotional stability/vulnerability responses), Arousal Domain ({O,E} → novelty/stimulation regulation), Affiliation Domain (A → social connection/cooperation strategies).</w:t>
      </w:r>
    </w:p>
    <w:p>
      <w:r>
        <w:rPr>
          <w:b/>
        </w:rPr>
        <w:t>Theoretical Foundation</w:t>
      </w:r>
      <w:r>
        <w:t>: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r>
        <w:rPr>
          <w:b/>
        </w:rPr>
        <w:t>Motivational Domain Mapping</w:t>
      </w:r>
      <w:r>
        <w:t>: The integration of Big Five traits with Zurich Model domains creates a psychologically coherent framework for behavior regulation:</w:t>
      </w:r>
    </w:p>
    <w:p>
      <w:r>
        <w:t xml:space="preserve">- </w:t>
      </w:r>
      <w:r>
        <w:rPr>
          <w:b/>
        </w:rPr>
        <w:t>Security Domain</w:t>
      </w:r>
      <w:r>
        <w:t>: Addresses basic safety and emotional stability needs, primarily influenced by Neuroticism levels</w:t>
      </w:r>
    </w:p>
    <w:p>
      <w:r>
        <w:t xml:space="preserve">- </w:t>
      </w:r>
      <w:r>
        <w:rPr>
          <w:b/>
        </w:rPr>
        <w:t>Arousal Domain</w:t>
      </w:r>
      <w:r>
        <w:t>: Manages stimulation and novelty preferences, influenced by Openness and Extraversion traits</w:t>
      </w:r>
    </w:p>
    <w:p>
      <w:r>
        <w:t xml:space="preserve">- </w:t>
      </w:r>
      <w:r>
        <w:rPr>
          <w:b/>
        </w:rPr>
        <w:t>Affiliation Domain</w:t>
      </w:r>
      <w:r>
        <w:t>: Regulates social connection and cooperation strategies, primarily influenced by Agreeableness</w:t>
      </w:r>
    </w:p>
    <w:p>
      <w:r>
        <w:t>Table 1. Trait-to-Regulation Mapping Based on Zurich Model</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Trait</w:t>
            </w:r>
          </w:p>
        </w:tc>
        <w:tc>
          <w:tcPr>
            <w:tcW w:type="dxa" w:w="2480"/>
          </w:tcPr>
          <w:p>
            <w:r>
              <w:rPr>
                <w:rFonts w:ascii="Times New Roman" w:hAnsi="Times New Roman"/>
                <w:b/>
                <w:sz w:val="18"/>
              </w:rPr>
              <w:t>High (+1) Regulation Prompt</w:t>
            </w:r>
          </w:p>
        </w:tc>
        <w:tc>
          <w:tcPr>
            <w:tcW w:type="dxa" w:w="2480"/>
          </w:tcPr>
          <w:p>
            <w:r>
              <w:rPr>
                <w:rFonts w:ascii="Times New Roman" w:hAnsi="Times New Roman"/>
                <w:b/>
                <w:sz w:val="18"/>
              </w:rPr>
              <w:t>Low (-1) Regulation Prompt</w:t>
            </w:r>
          </w:p>
        </w:tc>
        <w:tc>
          <w:tcPr>
            <w:tcW w:type="dxa" w:w="2480"/>
          </w:tcPr>
          <w:p>
            <w:r>
              <w:rPr>
                <w:rFonts w:ascii="Times New Roman" w:hAnsi="Times New Roman"/>
                <w:b/>
                <w:sz w:val="18"/>
              </w:rPr>
              <w:t>Motivational Domain</w:t>
            </w:r>
          </w:p>
        </w:tc>
      </w:tr>
      <w:tr>
        <w:tc>
          <w:tcPr>
            <w:tcW w:type="dxa" w:w="2480"/>
          </w:tcPr>
          <w:p>
            <w:r>
              <w:rPr>
                <w:rFonts w:ascii="Times New Roman" w:hAnsi="Times New Roman"/>
                <w:sz w:val="18"/>
              </w:rPr>
              <w:t>Openness</w:t>
            </w:r>
          </w:p>
        </w:tc>
        <w:tc>
          <w:tcPr>
            <w:tcW w:type="dxa" w:w="2480"/>
          </w:tcPr>
          <w:p>
            <w:r>
              <w:rPr>
                <w:rFonts w:ascii="Times New Roman" w:hAnsi="Times New Roman"/>
                <w:sz w:val="18"/>
              </w:rPr>
              <w:t>"Explore diverse approaches, introduce new concepts"</w:t>
            </w:r>
          </w:p>
        </w:tc>
        <w:tc>
          <w:tcPr>
            <w:tcW w:type="dxa" w:w="2480"/>
          </w:tcPr>
          <w:p>
            <w:r>
              <w:rPr>
                <w:rFonts w:ascii="Times New Roman" w:hAnsi="Times New Roman"/>
                <w:sz w:val="18"/>
              </w:rPr>
              <w:t>"Focus on familiar, established practices"</w:t>
            </w:r>
          </w:p>
        </w:tc>
        <w:tc>
          <w:tcPr>
            <w:tcW w:type="dxa" w:w="2480"/>
          </w:tcPr>
          <w:p>
            <w:r>
              <w:rPr>
                <w:rFonts w:ascii="Times New Roman" w:hAnsi="Times New Roman"/>
                <w:sz w:val="18"/>
              </w:rPr>
              <w:t>Arousal</w:t>
            </w:r>
          </w:p>
        </w:tc>
      </w:tr>
      <w:tr>
        <w:tc>
          <w:tcPr>
            <w:tcW w:type="dxa" w:w="2480"/>
          </w:tcPr>
          <w:p>
            <w:r>
              <w:rPr>
                <w:rFonts w:ascii="Times New Roman" w:hAnsi="Times New Roman"/>
                <w:sz w:val="18"/>
              </w:rPr>
              <w:t>Conscientiousness</w:t>
            </w:r>
          </w:p>
        </w:tc>
        <w:tc>
          <w:tcPr>
            <w:tcW w:type="dxa" w:w="2480"/>
          </w:tcPr>
          <w:p>
            <w:r>
              <w:rPr>
                <w:rFonts w:ascii="Times New Roman" w:hAnsi="Times New Roman"/>
                <w:sz w:val="18"/>
              </w:rPr>
              <w:t>"Provide structured, systematic guidance"</w:t>
            </w:r>
          </w:p>
        </w:tc>
        <w:tc>
          <w:tcPr>
            <w:tcW w:type="dxa" w:w="2480"/>
          </w:tcPr>
          <w:p>
            <w:r>
              <w:rPr>
                <w:rFonts w:ascii="Times New Roman" w:hAnsi="Times New Roman"/>
                <w:sz w:val="18"/>
              </w:rPr>
              <w:t>"Offer flexible, adaptable approaches"</w:t>
            </w:r>
          </w:p>
        </w:tc>
        <w:tc>
          <w:tcPr>
            <w:tcW w:type="dxa" w:w="2480"/>
          </w:tcPr>
          <w:p>
            <w:r>
              <w:rPr>
                <w:rFonts w:ascii="Times New Roman" w:hAnsi="Times New Roman"/>
                <w:sz w:val="18"/>
              </w:rPr>
              <w:t>Arousal</w:t>
            </w:r>
          </w:p>
        </w:tc>
      </w:tr>
      <w:tr>
        <w:tc>
          <w:tcPr>
            <w:tcW w:type="dxa" w:w="2480"/>
          </w:tcPr>
          <w:p>
            <w:r>
              <w:rPr>
                <w:rFonts w:ascii="Times New Roman" w:hAnsi="Times New Roman"/>
                <w:sz w:val="18"/>
              </w:rPr>
              <w:t>Extraversion</w:t>
            </w:r>
          </w:p>
        </w:tc>
        <w:tc>
          <w:tcPr>
            <w:tcW w:type="dxa" w:w="2480"/>
          </w:tcPr>
          <w:p>
            <w:r>
              <w:rPr>
                <w:rFonts w:ascii="Times New Roman" w:hAnsi="Times New Roman"/>
                <w:sz w:val="18"/>
              </w:rPr>
              <w:t>"Use encouraging, interactive communication"</w:t>
            </w:r>
          </w:p>
        </w:tc>
        <w:tc>
          <w:tcPr>
            <w:tcW w:type="dxa" w:w="2480"/>
          </w:tcPr>
          <w:p>
            <w:r>
              <w:rPr>
                <w:rFonts w:ascii="Times New Roman" w:hAnsi="Times New Roman"/>
                <w:sz w:val="18"/>
              </w:rPr>
              <w:t>"Adopt calm, reflective tone"</w:t>
            </w:r>
          </w:p>
        </w:tc>
        <w:tc>
          <w:tcPr>
            <w:tcW w:type="dxa" w:w="2480"/>
          </w:tcPr>
          <w:p>
            <w:r>
              <w:rPr>
                <w:rFonts w:ascii="Times New Roman" w:hAnsi="Times New Roman"/>
                <w:sz w:val="18"/>
              </w:rPr>
              <w:t>Arousal</w:t>
            </w:r>
          </w:p>
        </w:tc>
      </w:tr>
      <w:tr>
        <w:tc>
          <w:tcPr>
            <w:tcW w:type="dxa" w:w="2480"/>
          </w:tcPr>
          <w:p>
            <w:r>
              <w:rPr>
                <w:rFonts w:ascii="Times New Roman" w:hAnsi="Times New Roman"/>
                <w:sz w:val="18"/>
              </w:rPr>
              <w:t>Agreeableness</w:t>
            </w:r>
          </w:p>
        </w:tc>
        <w:tc>
          <w:tcPr>
            <w:tcW w:type="dxa" w:w="2480"/>
          </w:tcPr>
          <w:p>
            <w:r>
              <w:rPr>
                <w:rFonts w:ascii="Times New Roman" w:hAnsi="Times New Roman"/>
                <w:sz w:val="18"/>
              </w:rPr>
              <w:t>"Show warmth, collaborative planning"</w:t>
            </w:r>
          </w:p>
        </w:tc>
        <w:tc>
          <w:tcPr>
            <w:tcW w:type="dxa" w:w="2480"/>
          </w:tcPr>
          <w:p>
            <w:r>
              <w:rPr>
                <w:rFonts w:ascii="Times New Roman" w:hAnsi="Times New Roman"/>
                <w:sz w:val="18"/>
              </w:rPr>
              <w:t>"Use neutral, professional stance"</w:t>
            </w:r>
          </w:p>
        </w:tc>
        <w:tc>
          <w:tcPr>
            <w:tcW w:type="dxa" w:w="2480"/>
          </w:tcPr>
          <w:p>
            <w:r>
              <w:rPr>
                <w:rFonts w:ascii="Times New Roman" w:hAnsi="Times New Roman"/>
                <w:sz w:val="18"/>
              </w:rPr>
              <w:t>Affiliation</w:t>
            </w:r>
          </w:p>
        </w:tc>
      </w:tr>
      <w:tr>
        <w:tc>
          <w:tcPr>
            <w:tcW w:type="dxa" w:w="2480"/>
          </w:tcPr>
          <w:p>
            <w:r>
              <w:rPr>
                <w:rFonts w:ascii="Times New Roman" w:hAnsi="Times New Roman"/>
                <w:sz w:val="18"/>
              </w:rPr>
              <w:t>Neuroticism</w:t>
            </w:r>
          </w:p>
        </w:tc>
        <w:tc>
          <w:tcPr>
            <w:tcW w:type="dxa" w:w="2480"/>
          </w:tcPr>
          <w:p>
            <w:r>
              <w:rPr>
                <w:rFonts w:ascii="Times New Roman" w:hAnsi="Times New Roman"/>
                <w:sz w:val="18"/>
              </w:rPr>
              <w:t>"Reinforce stability, confidence"</w:t>
            </w:r>
          </w:p>
        </w:tc>
        <w:tc>
          <w:tcPr>
            <w:tcW w:type="dxa" w:w="2480"/>
          </w:tcPr>
          <w:p>
            <w:r>
              <w:rPr>
                <w:rFonts w:ascii="Times New Roman" w:hAnsi="Times New Roman"/>
                <w:sz w:val="18"/>
              </w:rPr>
              <w:t>"Provide extra support, acknowledge concerns"</w:t>
            </w:r>
          </w:p>
        </w:tc>
        <w:tc>
          <w:tcPr>
            <w:tcW w:type="dxa" w:w="2480"/>
          </w:tcPr>
          <w:p>
            <w:r>
              <w:rPr>
                <w:rFonts w:ascii="Times New Roman" w:hAnsi="Times New Roman"/>
                <w:sz w:val="18"/>
              </w:rPr>
              <w:t>Security</w:t>
            </w:r>
          </w:p>
        </w:tc>
      </w:tr>
    </w:tbl>
    <w:p/>
    <w:p>
      <w:r>
        <w:rPr>
          <w:b/>
        </w:rPr>
        <w:t>Regulation Prompt Assembly</w:t>
      </w:r>
      <w:r>
        <w:t>: The regulation system dynamically assembles behavioral instructions based on detected traits. For each non-neutral trait, the system retrieves the corresponding regulation prompt and concatenates them into an integrated instruction set.</w:t>
      </w:r>
    </w:p>
    <w:p>
      <w:r>
        <w:rPr>
          <w:b/>
        </w:rPr>
        <w:t>Conflict Resolution</w:t>
      </w:r>
      <w:r>
        <w:t>: When multiple traits suggest potentially conflicting behaviors, the system employs harmonization strategies to create coherent responses. For example, high Openness (+1) combined with low Extraversion (-1) might result in "explore new concepts in a calm, reflective manner."</w:t>
      </w:r>
    </w:p>
    <w:p>
      <w:r>
        <w:rPr>
          <w:b/>
        </w:rPr>
        <w:t>Healthcare-Specific Adaptations</w:t>
      </w:r>
      <w:r>
        <w:t>: Regulation prompts are specifically designed for healthcare contexts, emphasizing therapeutic appropriateness, patient safety, and professional boundaries. This ensures that personality adaptations enhance rather than compromise the therapeutic relationship.</w:t>
      </w:r>
    </w:p>
    <w:p>
      <w:pPr>
        <w:pStyle w:val="Heading2"/>
      </w:pPr>
      <w:r>
        <w:t>3.5. Experimental Protocol</w:t>
      </w:r>
    </w:p>
    <w:p>
      <w:pPr>
        <w:pStyle w:val="Heading3"/>
      </w:pPr>
      <w:r>
        <w:t>3.5.1. Personality Profile Simulation</w:t>
      </w:r>
    </w:p>
    <w:p>
      <w:r>
        <w:t>We implemented two extreme personality profiles based on established Big Five personality research, representing the boundary conditions of human personality variation. Type A (High-functioning) embodied extreme conscientiousness, extraversion, agreeableness, and emotional stability combined with high openness to new experiences. Type B (Vulnerable) represented the opposite extremes: low conscientiousness, extraversion, agreeableness, and emotional stability, combined with low openness. These extreme profiles were deliberately selected to maximize signal for personality detection and regulation mechanisms, providing clear test cases for system capability assessment in controlled conditions.</w:t>
      </w:r>
    </w:p>
    <w:p>
      <w:r>
        <w:t>Personality profiles were encoded into conversational prompts that consistently exhibited target trait levels across all dialogue turns. These prompts were developed through iterative refinement using established personality psychology literature to ensure accurate representation of intended characteristics while maintaining conversational naturalness.</w:t>
      </w:r>
    </w:p>
    <w:tbl>
      <w:tblPr>
        <w:tblStyle w:val="LightGrid-Accent1"/>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b/>
                <w:sz w:val="18"/>
              </w:rPr>
              <w:t>Big Five Trait</w:t>
            </w:r>
          </w:p>
        </w:tc>
        <w:tc>
          <w:tcPr>
            <w:tcW w:type="dxa" w:w="3307"/>
          </w:tcPr>
          <w:p>
            <w:r>
              <w:rPr>
                <w:rFonts w:ascii="Times New Roman" w:hAnsi="Times New Roman"/>
                <w:b/>
                <w:sz w:val="18"/>
              </w:rPr>
              <w:t>Type A (High-Functioning)</w:t>
            </w:r>
          </w:p>
        </w:tc>
        <w:tc>
          <w:tcPr>
            <w:tcW w:type="dxa" w:w="3307"/>
          </w:tcPr>
          <w:p>
            <w:r>
              <w:rPr>
                <w:rFonts w:ascii="Times New Roman" w:hAnsi="Times New Roman"/>
                <w:b/>
                <w:sz w:val="18"/>
              </w:rPr>
              <w:t>Type B (Vulnerable)</w:t>
            </w:r>
          </w:p>
        </w:tc>
      </w:tr>
      <w:tr>
        <w:tc>
          <w:tcPr>
            <w:tcW w:type="dxa" w:w="3307"/>
          </w:tcPr>
          <w:p>
            <w:r>
              <w:rPr>
                <w:rFonts w:ascii="Times New Roman" w:hAnsi="Times New Roman"/>
                <w:sz w:val="18"/>
              </w:rPr>
              <w:t>Openness</w:t>
            </w:r>
          </w:p>
        </w:tc>
        <w:tc>
          <w:tcPr>
            <w:tcW w:type="dxa" w:w="3307"/>
          </w:tcPr>
          <w:p>
            <w:r>
              <w:rPr>
                <w:rFonts w:ascii="Times New Roman" w:hAnsi="Times New Roman"/>
                <w:sz w:val="18"/>
              </w:rPr>
              <w:t>"I'd love to explore different approaches and try new strategies"</w:t>
            </w:r>
          </w:p>
        </w:tc>
        <w:tc>
          <w:tcPr>
            <w:tcW w:type="dxa" w:w="3307"/>
          </w:tcPr>
          <w:p>
            <w:r>
              <w:rPr>
                <w:rFonts w:ascii="Times New Roman" w:hAnsi="Times New Roman"/>
                <w:sz w:val="18"/>
              </w:rPr>
              <w:t>"I don't see the point in trying new things, let's stick to what works"</w:t>
            </w:r>
          </w:p>
        </w:tc>
      </w:tr>
      <w:tr>
        <w:tc>
          <w:tcPr>
            <w:tcW w:type="dxa" w:w="3307"/>
          </w:tcPr>
          <w:p>
            <w:r>
              <w:rPr>
                <w:rFonts w:ascii="Times New Roman" w:hAnsi="Times New Roman"/>
                <w:sz w:val="18"/>
              </w:rPr>
              <w:t>Conscientiousness</w:t>
            </w:r>
          </w:p>
        </w:tc>
        <w:tc>
          <w:tcPr>
            <w:tcW w:type="dxa" w:w="3307"/>
          </w:tcPr>
          <w:p>
            <w:r>
              <w:rPr>
                <w:rFonts w:ascii="Times New Roman" w:hAnsi="Times New Roman"/>
                <w:sz w:val="18"/>
              </w:rPr>
              <w:t>"Let me organize this systematically and set clear goals"</w:t>
            </w:r>
          </w:p>
        </w:tc>
        <w:tc>
          <w:tcPr>
            <w:tcW w:type="dxa" w:w="3307"/>
          </w:tcPr>
          <w:p>
            <w:r>
              <w:rPr>
                <w:rFonts w:ascii="Times New Roman" w:hAnsi="Times New Roman"/>
                <w:sz w:val="18"/>
              </w:rPr>
              <w:t>"I'll figure it out when I feel like it, no need to rush"</w:t>
            </w:r>
          </w:p>
        </w:tc>
      </w:tr>
      <w:tr>
        <w:tc>
          <w:tcPr>
            <w:tcW w:type="dxa" w:w="3307"/>
          </w:tcPr>
          <w:p>
            <w:r>
              <w:rPr>
                <w:rFonts w:ascii="Times New Roman" w:hAnsi="Times New Roman"/>
                <w:sz w:val="18"/>
              </w:rPr>
              <w:t>Extraversion</w:t>
            </w:r>
          </w:p>
        </w:tc>
        <w:tc>
          <w:tcPr>
            <w:tcW w:type="dxa" w:w="3307"/>
          </w:tcPr>
          <w:p>
            <w:r>
              <w:rPr>
                <w:rFonts w:ascii="Times New Roman" w:hAnsi="Times New Roman"/>
                <w:sz w:val="18"/>
              </w:rPr>
              <w:t>"I'm excited to work together and share my experiences"</w:t>
            </w:r>
          </w:p>
        </w:tc>
        <w:tc>
          <w:tcPr>
            <w:tcW w:type="dxa" w:w="3307"/>
          </w:tcPr>
          <w:p>
            <w:r>
              <w:rPr>
                <w:rFonts w:ascii="Times New Roman" w:hAnsi="Times New Roman"/>
                <w:sz w:val="18"/>
              </w:rPr>
              <w:t>"I need to be alone right now, I'm not in the mood to socialize"</w:t>
            </w:r>
          </w:p>
        </w:tc>
      </w:tr>
      <w:tr>
        <w:tc>
          <w:tcPr>
            <w:tcW w:type="dxa" w:w="3307"/>
          </w:tcPr>
          <w:p>
            <w:r>
              <w:rPr>
                <w:rFonts w:ascii="Times New Roman" w:hAnsi="Times New Roman"/>
                <w:sz w:val="18"/>
              </w:rPr>
              <w:t>Agreeableness</w:t>
            </w:r>
          </w:p>
        </w:tc>
        <w:tc>
          <w:tcPr>
            <w:tcW w:type="dxa" w:w="3307"/>
          </w:tcPr>
          <w:p>
            <w:r>
              <w:rPr>
                <w:rFonts w:ascii="Times New Roman" w:hAnsi="Times New Roman"/>
                <w:sz w:val="18"/>
              </w:rPr>
              <w:t>"I understand and appreciate your perspective, let's collaborate"</w:t>
            </w:r>
          </w:p>
        </w:tc>
        <w:tc>
          <w:tcPr>
            <w:tcW w:type="dxa" w:w="3307"/>
          </w:tcPr>
          <w:p>
            <w:r>
              <w:rPr>
                <w:rFonts w:ascii="Times New Roman" w:hAnsi="Times New Roman"/>
                <w:sz w:val="18"/>
              </w:rPr>
              <w:t>"Actually, I disagree with that approach, it won't work for me"</w:t>
            </w:r>
          </w:p>
        </w:tc>
      </w:tr>
      <w:tr>
        <w:tc>
          <w:tcPr>
            <w:tcW w:type="dxa" w:w="3307"/>
          </w:tcPr>
          <w:p>
            <w:r>
              <w:rPr>
                <w:rFonts w:ascii="Times New Roman" w:hAnsi="Times New Roman"/>
                <w:sz w:val="18"/>
              </w:rPr>
              <w:t>Neuroticism</w:t>
            </w:r>
          </w:p>
        </w:tc>
        <w:tc>
          <w:tcPr>
            <w:tcW w:type="dxa" w:w="3307"/>
          </w:tcPr>
          <w:p>
            <w:r>
              <w:rPr>
                <w:rFonts w:ascii="Times New Roman" w:hAnsi="Times New Roman"/>
                <w:sz w:val="18"/>
              </w:rPr>
              <w:t>"I feel confident we can handle this together"</w:t>
            </w:r>
          </w:p>
        </w:tc>
        <w:tc>
          <w:tcPr>
            <w:tcW w:type="dxa" w:w="3307"/>
          </w:tcPr>
          <w:p>
            <w:r>
              <w:rPr>
                <w:rFonts w:ascii="Times New Roman" w:hAnsi="Times New Roman"/>
                <w:sz w:val="18"/>
              </w:rPr>
              <w:t>"I'm worried this will make things worse, I don't feel safe"</w:t>
            </w:r>
          </w:p>
        </w:tc>
      </w:tr>
    </w:tbl>
    <w:p/>
    <w:p>
      <w:pPr>
        <w:pStyle w:val="Heading3"/>
      </w:pPr>
      <w:r>
        <w:t>3.5.2. Agent Configuration</w:t>
      </w:r>
    </w:p>
    <w:p>
      <w:r>
        <w:t>Our experimental design employed 20 distinct agent instances deployed across two personality types, with randomized assignment to personality conditions to minimize initialization bias. Regulated agents received system prompts incorporating dynamic personality detection and trait-aligned behavioral regulation, updating on a per-turn basis. Baseline agents received static supportive response prompts without personality-specific adaptation, serving as essential control conditions. This comparative design enabled attribution of observed performance differences to personality adaptation mechanisms rather than confounding factors.</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Component</w:t>
            </w:r>
          </w:p>
        </w:tc>
        <w:tc>
          <w:tcPr>
            <w:tcW w:type="dxa" w:w="2480"/>
          </w:tcPr>
          <w:p>
            <w:r>
              <w:rPr>
                <w:rFonts w:ascii="Times New Roman" w:hAnsi="Times New Roman"/>
                <w:b/>
                <w:sz w:val="18"/>
              </w:rPr>
              <w:t>Regulated Agents</w:t>
            </w:r>
          </w:p>
        </w:tc>
        <w:tc>
          <w:tcPr>
            <w:tcW w:type="dxa" w:w="2480"/>
          </w:tcPr>
          <w:p>
            <w:r>
              <w:rPr>
                <w:rFonts w:ascii="Times New Roman" w:hAnsi="Times New Roman"/>
                <w:b/>
                <w:sz w:val="18"/>
              </w:rPr>
              <w:t>Baseline Agents</w:t>
            </w:r>
          </w:p>
        </w:tc>
        <w:tc>
          <w:tcPr>
            <w:tcW w:type="dxa" w:w="2480"/>
          </w:tcPr>
          <w:p>
            <w:r>
              <w:rPr>
                <w:rFonts w:ascii="Times New Roman" w:hAnsi="Times New Roman"/>
                <w:b/>
                <w:sz w:val="18"/>
              </w:rPr>
              <w:t>Total</w:t>
            </w:r>
          </w:p>
        </w:tc>
      </w:tr>
      <w:tr>
        <w:tc>
          <w:tcPr>
            <w:tcW w:type="dxa" w:w="2480"/>
          </w:tcPr>
          <w:p>
            <w:r>
              <w:rPr>
                <w:rFonts w:ascii="Times New Roman" w:hAnsi="Times New Roman"/>
                <w:sz w:val="18"/>
              </w:rPr>
              <w:t>Per Personality Type</w:t>
            </w:r>
          </w:p>
        </w:tc>
        <w:tc>
          <w:tcPr>
            <w:tcW w:type="dxa" w:w="2480"/>
          </w:tcPr>
          <w:p>
            <w:r>
              <w:rPr>
                <w:rFonts w:ascii="Times New Roman" w:hAnsi="Times New Roman"/>
                <w:sz w:val="18"/>
              </w:rPr>
              <w:t>5 agents</w:t>
            </w:r>
          </w:p>
        </w:tc>
        <w:tc>
          <w:tcPr>
            <w:tcW w:type="dxa" w:w="2480"/>
          </w:tcPr>
          <w:p>
            <w:r>
              <w:rPr>
                <w:rFonts w:ascii="Times New Roman" w:hAnsi="Times New Roman"/>
                <w:sz w:val="18"/>
              </w:rPr>
              <w:t>5 agents</w:t>
            </w:r>
          </w:p>
        </w:tc>
        <w:tc>
          <w:tcPr>
            <w:tcW w:type="dxa" w:w="2480"/>
          </w:tcPr>
          <w:p>
            <w:r>
              <w:rPr>
                <w:rFonts w:ascii="Times New Roman" w:hAnsi="Times New Roman"/>
                <w:sz w:val="18"/>
              </w:rPr>
              <w:t>10 agents</w:t>
            </w:r>
          </w:p>
        </w:tc>
      </w:tr>
      <w:tr>
        <w:tc>
          <w:tcPr>
            <w:tcW w:type="dxa" w:w="2480"/>
          </w:tcPr>
          <w:p>
            <w:r>
              <w:rPr>
                <w:rFonts w:ascii="Times New Roman" w:hAnsi="Times New Roman"/>
                <w:sz w:val="18"/>
              </w:rPr>
              <w:t>Personality Types</w:t>
            </w:r>
          </w:p>
        </w:tc>
        <w:tc>
          <w:tcPr>
            <w:tcW w:type="dxa" w:w="2480"/>
          </w:tcPr>
          <w:p>
            <w:r>
              <w:rPr>
                <w:rFonts w:ascii="Times New Roman" w:hAnsi="Times New Roman"/>
                <w:sz w:val="18"/>
              </w:rPr>
              <w:t>Type A + Type B</w:t>
            </w:r>
          </w:p>
        </w:tc>
        <w:tc>
          <w:tcPr>
            <w:tcW w:type="dxa" w:w="2480"/>
          </w:tcPr>
          <w:p>
            <w:r>
              <w:rPr>
                <w:rFonts w:ascii="Times New Roman" w:hAnsi="Times New Roman"/>
                <w:sz w:val="18"/>
              </w:rPr>
              <w:t>Type A + Type B</w:t>
            </w:r>
          </w:p>
        </w:tc>
        <w:tc>
          <w:tcPr>
            <w:tcW w:type="dxa" w:w="2480"/>
          </w:tcPr>
          <w:p>
            <w:r>
              <w:rPr>
                <w:rFonts w:ascii="Times New Roman" w:hAnsi="Times New Roman"/>
                <w:sz w:val="18"/>
              </w:rPr>
              <w:t>2 types</w:t>
            </w:r>
          </w:p>
        </w:tc>
      </w:tr>
      <w:tr>
        <w:tc>
          <w:tcPr>
            <w:tcW w:type="dxa" w:w="2480"/>
          </w:tcPr>
          <w:p>
            <w:r>
              <w:rPr>
                <w:rFonts w:ascii="Times New Roman" w:hAnsi="Times New Roman"/>
                <w:sz w:val="18"/>
              </w:rPr>
              <w:t>Overall Agent Count</w:t>
            </w:r>
          </w:p>
        </w:tc>
        <w:tc>
          <w:tcPr>
            <w:tcW w:type="dxa" w:w="2480"/>
          </w:tcPr>
          <w:p>
            <w:r>
              <w:rPr>
                <w:rFonts w:ascii="Times New Roman" w:hAnsi="Times New Roman"/>
                <w:sz w:val="18"/>
              </w:rPr>
              <w:t>10 agents</w:t>
            </w:r>
          </w:p>
        </w:tc>
        <w:tc>
          <w:tcPr>
            <w:tcW w:type="dxa" w:w="2480"/>
          </w:tcPr>
          <w:p>
            <w:r>
              <w:rPr>
                <w:rFonts w:ascii="Times New Roman" w:hAnsi="Times New Roman"/>
                <w:sz w:val="18"/>
              </w:rPr>
              <w:t>10 agents</w:t>
            </w:r>
          </w:p>
        </w:tc>
        <w:tc>
          <w:tcPr>
            <w:tcW w:type="dxa" w:w="2480"/>
          </w:tcPr>
          <w:p>
            <w:r>
              <w:rPr>
                <w:rFonts w:ascii="Times New Roman" w:hAnsi="Times New Roman"/>
                <w:sz w:val="18"/>
              </w:rPr>
              <w:t>20 agents</w:t>
            </w:r>
          </w:p>
        </w:tc>
      </w:tr>
      <w:tr>
        <w:tc>
          <w:tcPr>
            <w:tcW w:type="dxa" w:w="2480"/>
          </w:tcPr>
          <w:p>
            <w:r>
              <w:rPr>
                <w:rFonts w:ascii="Times New Roman" w:hAnsi="Times New Roman"/>
                <w:sz w:val="18"/>
              </w:rPr>
              <w:t>Dialogue Turns</w:t>
            </w:r>
          </w:p>
        </w:tc>
        <w:tc>
          <w:tcPr>
            <w:tcW w:type="dxa" w:w="2480"/>
          </w:tcPr>
          <w:p>
            <w:r>
              <w:rPr>
                <w:rFonts w:ascii="Times New Roman" w:hAnsi="Times New Roman"/>
                <w:sz w:val="18"/>
              </w:rPr>
              <w:t>30 turns × 2 = 60</w:t>
            </w:r>
          </w:p>
        </w:tc>
        <w:tc>
          <w:tcPr>
            <w:tcW w:type="dxa" w:w="2480"/>
          </w:tcPr>
          <w:p>
            <w:r>
              <w:rPr>
                <w:rFonts w:ascii="Times New Roman" w:hAnsi="Times New Roman"/>
                <w:sz w:val="18"/>
              </w:rPr>
              <w:t>30 turns × 2 = 60</w:t>
            </w:r>
          </w:p>
        </w:tc>
        <w:tc>
          <w:tcPr>
            <w:tcW w:type="dxa" w:w="2480"/>
          </w:tcPr>
          <w:p>
            <w:r>
              <w:rPr>
                <w:rFonts w:ascii="Times New Roman" w:hAnsi="Times New Roman"/>
                <w:sz w:val="18"/>
              </w:rPr>
              <w:t>120 total</w:t>
            </w:r>
          </w:p>
        </w:tc>
      </w:tr>
      <w:tr>
        <w:tc>
          <w:tcPr>
            <w:tcW w:type="dxa" w:w="2480"/>
          </w:tcPr>
          <w:p>
            <w:r>
              <w:rPr>
                <w:rFonts w:ascii="Times New Roman" w:hAnsi="Times New Roman"/>
                <w:sz w:val="18"/>
              </w:rPr>
              <w:t>Key Feature</w:t>
            </w:r>
          </w:p>
        </w:tc>
        <w:tc>
          <w:tcPr>
            <w:tcW w:type="dxa" w:w="2480"/>
          </w:tcPr>
          <w:p>
            <w:r>
              <w:rPr>
                <w:rFonts w:ascii="Times New Roman" w:hAnsi="Times New Roman"/>
                <w:sz w:val="18"/>
              </w:rPr>
              <w:t>Dynamic detection + regulation per turn</w:t>
            </w:r>
          </w:p>
        </w:tc>
        <w:tc>
          <w:tcPr>
            <w:tcW w:type="dxa" w:w="2480"/>
          </w:tcPr>
          <w:p>
            <w:r>
              <w:rPr>
                <w:rFonts w:ascii="Times New Roman" w:hAnsi="Times New Roman"/>
                <w:sz w:val="18"/>
              </w:rPr>
              <w:t>Static supportive prompts</w:t>
            </w:r>
          </w:p>
        </w:tc>
        <w:tc>
          <w:tcPr>
            <w:tcW w:type="dxa" w:w="2480"/>
          </w:tcPr>
          <w:p>
            <w:r>
              <w:rPr>
                <w:rFonts w:ascii="Times New Roman" w:hAnsi="Times New Roman"/>
                <w:sz w:val="18"/>
              </w:rPr>
              <w:t>Comparative design</w:t>
            </w:r>
          </w:p>
        </w:tc>
      </w:tr>
    </w:tbl>
    <w:p/>
    <w:p>
      <w:r>
        <w:t>Each agent was implemented as a separate GPT-4 instance with customized system prompts. Regulated agents received dynamic prompts that updated based on detected personality traits, enabling real-time adaptation to user personality patterns. Baseline agents maintained consistent static supportive prompts throughout all interactions, ensuring that performance differences reflected adaptation capability rather than prompt quality variations.</w:t>
      </w:r>
    </w:p>
    <w:p>
      <w:pPr>
        <w:pStyle w:val="Heading3"/>
      </w:pPr>
      <w:r>
        <w:t>3.5.3. Dialogue Structure and Control</w:t>
      </w:r>
    </w:p>
    <w:p>
      <w:r>
        <w:t>All conversations followed a standardized six-turn structure designed to balance two competing requirements: providing sufficient interaction depth for valid personality detection while maintaining evaluation complexity at manageable levels. Each turn consisted of a structured exchange: user input followed by assistant response, creating consistent evaluation opportunities across all agent-personality combinations.</w:t>
      </w:r>
    </w:p>
    <w:p>
      <w:r>
        <w:t>Turn sequence: (1) Assistant opening statement providing initial supportive framing, (2) User response exhibiting personality-congruent communication style, (3) Assistant adaptive response reflecting detected personality or generic support (regulated vs. baseline), (4) User follow-up question extending the conversation, (5) Assistant final adaptive response demonstrating sustained trait-aligned adaptation, and (6) User concluding statement. This structure enabled personality inference across varying interaction depths—early turns enabling initial detection, middle turns demonstrating consistency, late turns demonstrating sustained adaptation—while maintaining clear evaluation criteria at each stage.</w:t>
      </w:r>
    </w:p>
    <w:p>
      <w:r>
        <w:t>Random assignment of agent instances to personality types minimized potential initialization bias, ensuring that observed condition differences could be attributed to personality adaptation mechanisms. Baseline agents served as essential control conditions, enabling direct comparison of personality-adaptive versus generic response quality on identical dialogue content. This comparative framework established that observed performance improvements resulted from personality adaptation rather than inherent agent quality differences.</w:t>
      </w:r>
    </w:p>
    <w:p>
      <w:pPr>
        <w:pStyle w:val="Heading3"/>
      </w:pPr>
      <w:r>
        <w:t>3.5.4. Evaluation Framework</w:t>
      </w:r>
    </w:p>
    <w:p>
      <w:r>
        <w:t>We employed a differentiated evaluation framework reflecting the comparative experimental design. Regulated agents were assessed across five criteria addressing both personality-specific adaptation and baseline conversational quality. Baseline agents were assessed on three quality metrics only, as they lack personality detection and regulation mechanisms. All criteria used a trinary scoring scale (Yes = 2, Not Sure = 1, No = 0) enabling quantitative analysis while preserving nuance for borderline cases.</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Evaluation Criterion</w:t>
            </w:r>
          </w:p>
        </w:tc>
        <w:tc>
          <w:tcPr>
            <w:tcW w:type="dxa" w:w="2480"/>
          </w:tcPr>
          <w:p>
            <w:r>
              <w:rPr>
                <w:rFonts w:ascii="Times New Roman" w:hAnsi="Times New Roman"/>
                <w:b/>
                <w:sz w:val="18"/>
              </w:rPr>
              <w:t>Regulated Agents</w:t>
            </w:r>
          </w:p>
        </w:tc>
        <w:tc>
          <w:tcPr>
            <w:tcW w:type="dxa" w:w="2480"/>
          </w:tcPr>
          <w:p>
            <w:r>
              <w:rPr>
                <w:rFonts w:ascii="Times New Roman" w:hAnsi="Times New Roman"/>
                <w:b/>
                <w:sz w:val="18"/>
              </w:rPr>
              <w:t>Baseline Agents</w:t>
            </w:r>
          </w:p>
        </w:tc>
        <w:tc>
          <w:tcPr>
            <w:tcW w:type="dxa" w:w="2480"/>
          </w:tcPr>
          <w:p>
            <w:r>
              <w:rPr>
                <w:rFonts w:ascii="Times New Roman" w:hAnsi="Times New Roman"/>
                <w:b/>
                <w:sz w:val="18"/>
              </w:rPr>
              <w:t>Purpose</w:t>
            </w:r>
          </w:p>
        </w:tc>
      </w:tr>
      <w:tr>
        <w:tc>
          <w:tcPr>
            <w:tcW w:type="dxa" w:w="2480"/>
          </w:tcPr>
          <w:p>
            <w:r>
              <w:rPr>
                <w:rFonts w:ascii="Times New Roman" w:hAnsi="Times New Roman"/>
                <w:sz w:val="18"/>
              </w:rPr>
              <w:t>Detection Accuracy</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Measures whether personality traits are correctly inferred from linguistic patterns</w:t>
            </w:r>
          </w:p>
        </w:tc>
      </w:tr>
      <w:tr>
        <w:tc>
          <w:tcPr>
            <w:tcW w:type="dxa" w:w="2480"/>
          </w:tcPr>
          <w:p>
            <w:r>
              <w:rPr>
                <w:rFonts w:ascii="Times New Roman" w:hAnsi="Times New Roman"/>
                <w:sz w:val="18"/>
              </w:rPr>
              <w:t>Regulation Effectiveness</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Measures whether adapted responses align with detected traits and Zurich Model principles</w:t>
            </w:r>
          </w:p>
        </w:tc>
      </w:tr>
      <w:tr>
        <w:tc>
          <w:tcPr>
            <w:tcW w:type="dxa" w:w="2480"/>
          </w:tcPr>
          <w:p>
            <w:r>
              <w:rPr>
                <w:rFonts w:ascii="Times New Roman" w:hAnsi="Times New Roman"/>
                <w:sz w:val="18"/>
              </w:rPr>
              <w:t>Emotional Tone Appropriateness</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Baseline quality metric: appropriate warmth and attunement</w:t>
            </w:r>
          </w:p>
        </w:tc>
      </w:tr>
      <w:tr>
        <w:tc>
          <w:tcPr>
            <w:tcW w:type="dxa" w:w="2480"/>
          </w:tcPr>
          <w:p>
            <w:r>
              <w:rPr>
                <w:rFonts w:ascii="Times New Roman" w:hAnsi="Times New Roman"/>
                <w:sz w:val="18"/>
              </w:rPr>
              <w:t>Relevance &amp; Coherence</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Baseline quality metric: logical continuation and dialogue coherence</w:t>
            </w:r>
          </w:p>
        </w:tc>
      </w:tr>
      <w:tr>
        <w:tc>
          <w:tcPr>
            <w:tcW w:type="dxa" w:w="2480"/>
          </w:tcPr>
          <w:p>
            <w:r>
              <w:rPr>
                <w:rFonts w:ascii="Times New Roman" w:hAnsi="Times New Roman"/>
                <w:sz w:val="18"/>
              </w:rPr>
              <w:t>Personality Needs Addressed</w:t>
            </w:r>
          </w:p>
        </w:tc>
        <w:tc>
          <w:tcPr>
            <w:tcW w:type="dxa" w:w="2480"/>
          </w:tcPr>
          <w:p>
            <w:r>
              <w:rPr>
                <w:rFonts w:ascii="Times New Roman" w:hAnsi="Times New Roman"/>
                <w:sz w:val="18"/>
              </w:rPr>
              <w:t>✓</w:t>
            </w:r>
          </w:p>
        </w:tc>
        <w:tc>
          <w:tcPr>
            <w:tcW w:type="dxa" w:w="2480"/>
          </w:tcPr>
          <w:p>
            <w:r>
              <w:rPr>
                <w:rFonts w:ascii="Times New Roman" w:hAnsi="Times New Roman"/>
                <w:sz w:val="18"/>
              </w:rPr>
              <w:t>✓</w:t>
            </w:r>
          </w:p>
        </w:tc>
        <w:tc>
          <w:tcPr>
            <w:tcW w:type="dxa" w:w="2480"/>
          </w:tcPr>
          <w:p>
            <w:r>
              <w:rPr>
                <w:rFonts w:ascii="Times New Roman" w:hAnsi="Times New Roman"/>
                <w:sz w:val="18"/>
              </w:rPr>
              <w:t>Personality-specific effectiveness: trait-appropriate support and strategies</w:t>
            </w:r>
          </w:p>
        </w:tc>
      </w:tr>
    </w:tbl>
    <w:p/>
    <w:tbl>
      <w:tblPr>
        <w:tblStyle w:val="LightGrid-Accent1"/>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b/>
                <w:sz w:val="18"/>
              </w:rPr>
              <w:t>Score</w:t>
            </w:r>
          </w:p>
        </w:tc>
        <w:tc>
          <w:tcPr>
            <w:tcW w:type="dxa" w:w="3307"/>
          </w:tcPr>
          <w:p>
            <w:r>
              <w:rPr>
                <w:rFonts w:ascii="Times New Roman" w:hAnsi="Times New Roman"/>
                <w:b/>
                <w:sz w:val="18"/>
              </w:rPr>
              <w:t>Rating</w:t>
            </w:r>
          </w:p>
        </w:tc>
        <w:tc>
          <w:tcPr>
            <w:tcW w:type="dxa" w:w="3307"/>
          </w:tcPr>
          <w:p>
            <w:r>
              <w:rPr>
                <w:rFonts w:ascii="Times New Roman" w:hAnsi="Times New Roman"/>
                <w:b/>
                <w:sz w:val="18"/>
              </w:rPr>
              <w:t>Definition</w:t>
            </w:r>
          </w:p>
        </w:tc>
      </w:tr>
      <w:tr>
        <w:tc>
          <w:tcPr>
            <w:tcW w:type="dxa" w:w="3307"/>
          </w:tcPr>
          <w:p>
            <w:r>
              <w:rPr>
                <w:rFonts w:ascii="Times New Roman" w:hAnsi="Times New Roman"/>
                <w:sz w:val="18"/>
              </w:rPr>
              <w:t>2</w:t>
            </w:r>
          </w:p>
        </w:tc>
        <w:tc>
          <w:tcPr>
            <w:tcW w:type="dxa" w:w="3307"/>
          </w:tcPr>
          <w:p>
            <w:r>
              <w:rPr>
                <w:rFonts w:ascii="Times New Roman" w:hAnsi="Times New Roman"/>
                <w:sz w:val="18"/>
              </w:rPr>
              <w:t>Yes</w:t>
            </w:r>
          </w:p>
        </w:tc>
        <w:tc>
          <w:tcPr>
            <w:tcW w:type="dxa" w:w="3307"/>
          </w:tcPr>
          <w:p>
            <w:r>
              <w:rPr>
                <w:rFonts w:ascii="Times New Roman" w:hAnsi="Times New Roman"/>
                <w:sz w:val="18"/>
              </w:rPr>
              <w:t>Strong alignment with evaluation criterion; clear evidence of desired quality</w:t>
            </w:r>
          </w:p>
        </w:tc>
      </w:tr>
      <w:tr>
        <w:tc>
          <w:tcPr>
            <w:tcW w:type="dxa" w:w="3307"/>
          </w:tcPr>
          <w:p>
            <w:r>
              <w:rPr>
                <w:rFonts w:ascii="Times New Roman" w:hAnsi="Times New Roman"/>
                <w:sz w:val="18"/>
              </w:rPr>
              <w:t>1</w:t>
            </w:r>
          </w:p>
        </w:tc>
        <w:tc>
          <w:tcPr>
            <w:tcW w:type="dxa" w:w="3307"/>
          </w:tcPr>
          <w:p>
            <w:r>
              <w:rPr>
                <w:rFonts w:ascii="Times New Roman" w:hAnsi="Times New Roman"/>
                <w:sz w:val="18"/>
              </w:rPr>
              <w:t>Not Sure</w:t>
            </w:r>
          </w:p>
        </w:tc>
        <w:tc>
          <w:tcPr>
            <w:tcW w:type="dxa" w:w="3307"/>
          </w:tcPr>
          <w:p>
            <w:r>
              <w:rPr>
                <w:rFonts w:ascii="Times New Roman" w:hAnsi="Times New Roman"/>
                <w:sz w:val="18"/>
              </w:rPr>
              <w:t>Partial alignment or ambiguous cases; criterion partially met or unclear</w:t>
            </w:r>
          </w:p>
        </w:tc>
      </w:tr>
      <w:tr>
        <w:tc>
          <w:tcPr>
            <w:tcW w:type="dxa" w:w="3307"/>
          </w:tcPr>
          <w:p>
            <w:r>
              <w:rPr>
                <w:rFonts w:ascii="Times New Roman" w:hAnsi="Times New Roman"/>
                <w:sz w:val="18"/>
              </w:rPr>
              <w:t>0</w:t>
            </w:r>
          </w:p>
        </w:tc>
        <w:tc>
          <w:tcPr>
            <w:tcW w:type="dxa" w:w="3307"/>
          </w:tcPr>
          <w:p>
            <w:r>
              <w:rPr>
                <w:rFonts w:ascii="Times New Roman" w:hAnsi="Times New Roman"/>
                <w:sz w:val="18"/>
              </w:rPr>
              <w:t>No</w:t>
            </w:r>
          </w:p>
        </w:tc>
        <w:tc>
          <w:tcPr>
            <w:tcW w:type="dxa" w:w="3307"/>
          </w:tcPr>
          <w:p>
            <w:r>
              <w:rPr>
                <w:rFonts w:ascii="Times New Roman" w:hAnsi="Times New Roman"/>
                <w:sz w:val="18"/>
              </w:rPr>
              <w:t>Clear misalignment with evaluation criterion; criterion not met</w:t>
            </w:r>
          </w:p>
        </w:tc>
      </w:tr>
    </w:tbl>
    <w:p/>
    <w:p>
      <w:pPr>
        <w:pStyle w:val="Heading3"/>
      </w:pPr>
      <w:r>
        <w:t>3.5.5. Human-Expert Validation Protocol</w:t>
      </w:r>
    </w:p>
    <w:p>
      <w:r>
        <w:t>A fundamental threat to validity in this simulation study is reliance on an AI-based evaluator (Evaluator GPT) to assess conversational quality produced by another AI system. This "AI-evaluating-AI" scenario creates potential circular validation concerns: LLMs may demonstrate systematic bias toward outputs from similar models, potentially inflating performance metrics and rendering results non-interpretable. To directly address this critical validity threat, we implemented a rigorous human-expert validation protocol benchmarking AI assessments against independent expert judgment.</w:t>
      </w:r>
    </w:p>
    <w:p>
      <w:r>
        <w:rPr>
          <w:b/>
        </w:rPr>
        <w:t>Expert Panel:</w:t>
      </w:r>
      <w:r>
        <w:t xml:space="preserve"> Two PhD-level in-house research experts with complementary expertise independently evaluated dialogue subsets using identical evaluation criteria. Their qualifications and roles are specified below:</w:t>
      </w:r>
    </w:p>
    <w:tbl>
      <w:tblPr>
        <w:tblStyle w:val="LightGrid-Accent1"/>
        <w:tblW w:type="auto" w:w="0"/>
        <w:tblLook w:firstColumn="1" w:firstRow="1" w:lastColumn="0" w:lastRow="0" w:noHBand="0" w:noVBand="1" w:val="04A0"/>
      </w:tblPr>
      <w:tblGrid>
        <w:gridCol w:w="3307"/>
        <w:gridCol w:w="3307"/>
        <w:gridCol w:w="3307"/>
      </w:tblGrid>
      <w:tr>
        <w:tc>
          <w:tcPr>
            <w:tcW w:type="dxa" w:w="3307"/>
          </w:tcPr>
          <w:p>
            <w:r>
              <w:rPr>
                <w:rFonts w:ascii="Times New Roman" w:hAnsi="Times New Roman"/>
                <w:b/>
                <w:sz w:val="18"/>
              </w:rPr>
              <w:t>Dimension</w:t>
            </w:r>
          </w:p>
        </w:tc>
        <w:tc>
          <w:tcPr>
            <w:tcW w:type="dxa" w:w="3307"/>
          </w:tcPr>
          <w:p>
            <w:r>
              <w:rPr>
                <w:rFonts w:ascii="Times New Roman" w:hAnsi="Times New Roman"/>
                <w:b/>
                <w:sz w:val="18"/>
              </w:rPr>
              <w:t>Expert 1</w:t>
            </w:r>
          </w:p>
        </w:tc>
        <w:tc>
          <w:tcPr>
            <w:tcW w:type="dxa" w:w="3307"/>
          </w:tcPr>
          <w:p>
            <w:r>
              <w:rPr>
                <w:rFonts w:ascii="Times New Roman" w:hAnsi="Times New Roman"/>
                <w:b/>
                <w:sz w:val="18"/>
              </w:rPr>
              <w:t>Expert 2</w:t>
            </w:r>
          </w:p>
        </w:tc>
      </w:tr>
      <w:tr>
        <w:tc>
          <w:tcPr>
            <w:tcW w:type="dxa" w:w="3307"/>
          </w:tcPr>
          <w:p>
            <w:r>
              <w:rPr>
                <w:rFonts w:ascii="Times New Roman" w:hAnsi="Times New Roman"/>
                <w:sz w:val="18"/>
              </w:rPr>
              <w:t>Degree</w:t>
            </w:r>
          </w:p>
        </w:tc>
        <w:tc>
          <w:tcPr>
            <w:tcW w:type="dxa" w:w="3307"/>
          </w:tcPr>
          <w:p>
            <w:r>
              <w:rPr>
                <w:rFonts w:ascii="Times New Roman" w:hAnsi="Times New Roman"/>
                <w:sz w:val="18"/>
              </w:rPr>
              <w:t>PhD in Clinical Psychology</w:t>
            </w:r>
          </w:p>
        </w:tc>
        <w:tc>
          <w:tcPr>
            <w:tcW w:type="dxa" w:w="3307"/>
          </w:tcPr>
          <w:p>
            <w:r>
              <w:rPr>
                <w:rFonts w:ascii="Times New Roman" w:hAnsi="Times New Roman"/>
                <w:sz w:val="18"/>
              </w:rPr>
              <w:t>PhD in Computer Science</w:t>
            </w:r>
          </w:p>
        </w:tc>
      </w:tr>
      <w:tr>
        <w:tc>
          <w:tcPr>
            <w:tcW w:type="dxa" w:w="3307"/>
          </w:tcPr>
          <w:p>
            <w:r>
              <w:rPr>
                <w:rFonts w:ascii="Times New Roman" w:hAnsi="Times New Roman"/>
                <w:sz w:val="18"/>
              </w:rPr>
              <w:t>Specialization</w:t>
            </w:r>
          </w:p>
        </w:tc>
        <w:tc>
          <w:tcPr>
            <w:tcW w:type="dxa" w:w="3307"/>
          </w:tcPr>
          <w:p>
            <w:r>
              <w:rPr>
                <w:rFonts w:ascii="Times New Roman" w:hAnsi="Times New Roman"/>
                <w:sz w:val="18"/>
              </w:rPr>
              <w:t>Mental Health Interventions</w:t>
            </w:r>
          </w:p>
        </w:tc>
        <w:tc>
          <w:tcPr>
            <w:tcW w:type="dxa" w:w="3307"/>
          </w:tcPr>
          <w:p>
            <w:r>
              <w:rPr>
                <w:rFonts w:ascii="Times New Roman" w:hAnsi="Times New Roman"/>
                <w:sz w:val="18"/>
              </w:rPr>
              <w:t>AI-based Healthcare Systems</w:t>
            </w:r>
          </w:p>
        </w:tc>
      </w:tr>
      <w:tr>
        <w:tc>
          <w:tcPr>
            <w:tcW w:type="dxa" w:w="3307"/>
          </w:tcPr>
          <w:p>
            <w:r>
              <w:rPr>
                <w:rFonts w:ascii="Times New Roman" w:hAnsi="Times New Roman"/>
                <w:sz w:val="18"/>
              </w:rPr>
              <w:t>Years of Experience</w:t>
            </w:r>
          </w:p>
        </w:tc>
        <w:tc>
          <w:tcPr>
            <w:tcW w:type="dxa" w:w="3307"/>
          </w:tcPr>
          <w:p>
            <w:r>
              <w:rPr>
                <w:rFonts w:ascii="Times New Roman" w:hAnsi="Times New Roman"/>
                <w:sz w:val="18"/>
              </w:rPr>
              <w:t>14 years</w:t>
            </w:r>
          </w:p>
        </w:tc>
        <w:tc>
          <w:tcPr>
            <w:tcW w:type="dxa" w:w="3307"/>
          </w:tcPr>
          <w:p>
            <w:r>
              <w:rPr>
                <w:rFonts w:ascii="Times New Roman" w:hAnsi="Times New Roman"/>
                <w:sz w:val="18"/>
              </w:rPr>
              <w:t>10 years</w:t>
            </w:r>
          </w:p>
        </w:tc>
      </w:tr>
      <w:tr>
        <w:tc>
          <w:tcPr>
            <w:tcW w:type="dxa" w:w="3307"/>
          </w:tcPr>
          <w:p>
            <w:r>
              <w:rPr>
                <w:rFonts w:ascii="Times New Roman" w:hAnsi="Times New Roman"/>
                <w:sz w:val="18"/>
              </w:rPr>
              <w:t>Primary Expertise Domain</w:t>
            </w:r>
          </w:p>
        </w:tc>
        <w:tc>
          <w:tcPr>
            <w:tcW w:type="dxa" w:w="3307"/>
          </w:tcPr>
          <w:p>
            <w:r>
              <w:rPr>
                <w:rFonts w:ascii="Times New Roman" w:hAnsi="Times New Roman"/>
                <w:sz w:val="18"/>
              </w:rPr>
              <w:t>Clinical/Psychological assessment</w:t>
            </w:r>
          </w:p>
        </w:tc>
        <w:tc>
          <w:tcPr>
            <w:tcW w:type="dxa" w:w="3307"/>
          </w:tcPr>
          <w:p>
            <w:r>
              <w:rPr>
                <w:rFonts w:ascii="Times New Roman" w:hAnsi="Times New Roman"/>
                <w:sz w:val="18"/>
              </w:rPr>
              <w:t>Technical/AI methodology</w:t>
            </w:r>
          </w:p>
        </w:tc>
      </w:tr>
      <w:tr>
        <w:tc>
          <w:tcPr>
            <w:tcW w:type="dxa" w:w="3307"/>
          </w:tcPr>
          <w:p>
            <w:r>
              <w:rPr>
                <w:rFonts w:ascii="Times New Roman" w:hAnsi="Times New Roman"/>
                <w:sz w:val="18"/>
              </w:rPr>
              <w:t>AI Evaluation Training</w:t>
            </w:r>
          </w:p>
        </w:tc>
        <w:tc>
          <w:tcPr>
            <w:tcW w:type="dxa" w:w="3307"/>
          </w:tcPr>
          <w:p>
            <w:r>
              <w:rPr>
                <w:rFonts w:ascii="Times New Roman" w:hAnsi="Times New Roman"/>
                <w:sz w:val="18"/>
              </w:rPr>
              <w:t>Healthcare AI systems validation</w:t>
            </w:r>
          </w:p>
        </w:tc>
        <w:tc>
          <w:tcPr>
            <w:tcW w:type="dxa" w:w="3307"/>
          </w:tcPr>
          <w:p>
            <w:r>
              <w:rPr>
                <w:rFonts w:ascii="Times New Roman" w:hAnsi="Times New Roman"/>
                <w:sz w:val="18"/>
              </w:rPr>
              <w:t>Algorithmic bias assessment</w:t>
            </w:r>
          </w:p>
        </w:tc>
      </w:tr>
      <w:tr>
        <w:tc>
          <w:tcPr>
            <w:tcW w:type="dxa" w:w="3307"/>
          </w:tcPr>
          <w:p>
            <w:r>
              <w:rPr>
                <w:rFonts w:ascii="Times New Roman" w:hAnsi="Times New Roman"/>
                <w:sz w:val="18"/>
              </w:rPr>
              <w:t>Domain Qualification</w:t>
            </w:r>
          </w:p>
        </w:tc>
        <w:tc>
          <w:tcPr>
            <w:tcW w:type="dxa" w:w="3307"/>
          </w:tcPr>
          <w:p>
            <w:r>
              <w:rPr>
                <w:rFonts w:ascii="Times New Roman" w:hAnsi="Times New Roman"/>
                <w:sz w:val="18"/>
              </w:rPr>
              <w:t>≥3 years evaluating AI-generated mental health content</w:t>
            </w:r>
          </w:p>
        </w:tc>
        <w:tc>
          <w:tcPr>
            <w:tcW w:type="dxa" w:w="3307"/>
          </w:tcPr>
          <w:p>
            <w:r>
              <w:rPr>
                <w:rFonts w:ascii="Times New Roman" w:hAnsi="Times New Roman"/>
                <w:sz w:val="18"/>
              </w:rPr>
              <w:t>≥3 years evaluating AI systems in healthcare</w:t>
            </w:r>
          </w:p>
        </w:tc>
      </w:tr>
    </w:tbl>
    <w:p/>
    <w:p>
      <w:r>
        <w:rPr>
          <w:b/>
        </w:rPr>
        <w:t>Validation Sample Selection:</w:t>
      </w:r>
      <w:r>
        <w:t xml:space="preserve"> We employed a stratified random sampling strategy to select 30 dialogue turns from the full 120-turn dataset (25% validation rate). Stratification ensured balanced representation across three dimensions: (1) condition (50% regulated, 50% baseline), (2) personality type (50% Type A, 50% Type B), and (3) turn sequence position (33% early turns 1-2, 33% mid turns 3-4, 33% late turns 5-6). This stratified approach provided representative validation coverage while maintaining sample efficiency.</w:t>
      </w:r>
    </w:p>
    <w:tbl>
      <w:tblPr>
        <w:tblStyle w:val="LightGrid-Accent1"/>
        <w:tblW w:type="auto" w:w="0"/>
        <w:tblLook w:firstColumn="1" w:firstRow="1" w:lastColumn="0" w:lastRow="0" w:noHBand="0" w:noVBand="1" w:val="04A0"/>
      </w:tblPr>
      <w:tblGrid>
        <w:gridCol w:w="4961"/>
        <w:gridCol w:w="4961"/>
      </w:tblGrid>
      <w:tr>
        <w:tc>
          <w:tcPr>
            <w:tcW w:type="dxa" w:w="4961"/>
          </w:tcPr>
          <w:p>
            <w:r>
              <w:rPr>
                <w:rFonts w:ascii="Times New Roman" w:hAnsi="Times New Roman"/>
                <w:b/>
                <w:sz w:val="18"/>
              </w:rPr>
              <w:t>Stratification Dimension</w:t>
            </w:r>
          </w:p>
        </w:tc>
        <w:tc>
          <w:tcPr>
            <w:tcW w:type="dxa" w:w="4961"/>
          </w:tcPr>
          <w:p>
            <w:r>
              <w:rPr>
                <w:rFonts w:ascii="Times New Roman" w:hAnsi="Times New Roman"/>
                <w:b/>
                <w:sz w:val="18"/>
              </w:rPr>
              <w:t>Details</w:t>
            </w:r>
          </w:p>
        </w:tc>
      </w:tr>
      <w:tr>
        <w:tc>
          <w:tcPr>
            <w:tcW w:type="dxa" w:w="4961"/>
          </w:tcPr>
          <w:p>
            <w:r>
              <w:rPr>
                <w:rFonts w:ascii="Times New Roman" w:hAnsi="Times New Roman"/>
                <w:sz w:val="18"/>
              </w:rPr>
              <w:t>Sample Size</w:t>
            </w:r>
          </w:p>
        </w:tc>
        <w:tc>
          <w:tcPr>
            <w:tcW w:type="dxa" w:w="4961"/>
          </w:tcPr>
          <w:p>
            <w:r>
              <w:rPr>
                <w:rFonts w:ascii="Times New Roman" w:hAnsi="Times New Roman"/>
                <w:sz w:val="18"/>
              </w:rPr>
              <w:t>30 dialogue turns from 120 total (25% validation rate)</w:t>
            </w:r>
          </w:p>
        </w:tc>
      </w:tr>
      <w:tr>
        <w:tc>
          <w:tcPr>
            <w:tcW w:type="dxa" w:w="4961"/>
          </w:tcPr>
          <w:p>
            <w:r>
              <w:rPr>
                <w:rFonts w:ascii="Times New Roman" w:hAnsi="Times New Roman"/>
                <w:sz w:val="18"/>
              </w:rPr>
              <w:t>Condition Balance</w:t>
            </w:r>
          </w:p>
        </w:tc>
        <w:tc>
          <w:tcPr>
            <w:tcW w:type="dxa" w:w="4961"/>
          </w:tcPr>
          <w:p>
            <w:r>
              <w:rPr>
                <w:rFonts w:ascii="Times New Roman" w:hAnsi="Times New Roman"/>
                <w:sz w:val="18"/>
              </w:rPr>
              <w:t>15 regulated, 15 baseline</w:t>
            </w:r>
          </w:p>
        </w:tc>
      </w:tr>
      <w:tr>
        <w:tc>
          <w:tcPr>
            <w:tcW w:type="dxa" w:w="4961"/>
          </w:tcPr>
          <w:p>
            <w:r>
              <w:rPr>
                <w:rFonts w:ascii="Times New Roman" w:hAnsi="Times New Roman"/>
                <w:sz w:val="18"/>
              </w:rPr>
              <w:t>Personality Type</w:t>
            </w:r>
          </w:p>
        </w:tc>
        <w:tc>
          <w:tcPr>
            <w:tcW w:type="dxa" w:w="4961"/>
          </w:tcPr>
          <w:p>
            <w:r>
              <w:rPr>
                <w:rFonts w:ascii="Times New Roman" w:hAnsi="Times New Roman"/>
                <w:sz w:val="18"/>
              </w:rPr>
              <w:t>15 Type A, 15 Type B</w:t>
            </w:r>
          </w:p>
        </w:tc>
      </w:tr>
      <w:tr>
        <w:tc>
          <w:tcPr>
            <w:tcW w:type="dxa" w:w="4961"/>
          </w:tcPr>
          <w:p>
            <w:r>
              <w:rPr>
                <w:rFonts w:ascii="Times New Roman" w:hAnsi="Times New Roman"/>
                <w:sz w:val="18"/>
              </w:rPr>
              <w:t>Turn Sequence</w:t>
            </w:r>
          </w:p>
        </w:tc>
        <w:tc>
          <w:tcPr>
            <w:tcW w:type="dxa" w:w="4961"/>
          </w:tcPr>
          <w:p>
            <w:r>
              <w:rPr>
                <w:rFonts w:ascii="Times New Roman" w:hAnsi="Times New Roman"/>
                <w:sz w:val="18"/>
              </w:rPr>
              <w:t>10 early (turns 1-2), 10 mid (turns 3-4), 10 late (turns 5-6)</w:t>
            </w:r>
          </w:p>
        </w:tc>
      </w:tr>
      <w:tr>
        <w:tc>
          <w:tcPr>
            <w:tcW w:type="dxa" w:w="4961"/>
          </w:tcPr>
          <w:p>
            <w:r>
              <w:rPr>
                <w:rFonts w:ascii="Times New Roman" w:hAnsi="Times New Roman"/>
                <w:sz w:val="18"/>
              </w:rPr>
              <w:t>Sampling Procedure</w:t>
            </w:r>
          </w:p>
        </w:tc>
        <w:tc>
          <w:tcPr>
            <w:tcW w:type="dxa" w:w="4961"/>
          </w:tcPr>
          <w:p>
            <w:r>
              <w:rPr>
                <w:rFonts w:ascii="Times New Roman" w:hAnsi="Times New Roman"/>
                <w:sz w:val="18"/>
              </w:rPr>
              <w:t>Stratified random sampling with random number generation under stratification constraints</w:t>
            </w:r>
          </w:p>
        </w:tc>
      </w:tr>
    </w:tbl>
    <w:p/>
    <w:p>
      <w:r>
        <w:rPr>
          <w:b/>
        </w:rPr>
        <w:t>Identical Evaluation Matrix:</w:t>
      </w:r>
      <w:r>
        <w:t xml:space="preserve"> Human experts employed the exact same five-criterion evaluation matrix and trinary scoring scale used by Evaluator GPT, ensuring direct comparability. Detailed rubrics with specific behavioral anchors were provided (e.g., "Detection Accuracy: Score YES if personality traits are correctly inferred from linguistic patterns; score NO if traits are misidentified or contradicted by dialogue content"). This standardization eliminated measurement variance as a confound.</w:t>
      </w:r>
    </w:p>
    <w:p>
      <w:r>
        <w:rPr>
          <w:b/>
        </w:rPr>
        <w:t>Rigorous Blinding Protocol:</w:t>
      </w:r>
      <w:r>
        <w:t xml:space="preserve"> All identifying information was removed from presented dialogues (agent condition, personality type, turn number, study context). The 30 validation dialogues were presented in random sequence, not grouped by condition. Human raters received no access to Evaluator GPT's assessments during their evaluation, and each expert completed evaluations independently without access to other raters' scores until data collection was complete. Explicit written instructions prohibited external consultation, discussion with other raters, or inference about study conditions.</w:t>
      </w:r>
    </w:p>
    <w:p>
      <w:pPr>
        <w:pStyle w:val="Heading3"/>
      </w:pPr>
      <w:r>
        <w:t>3.5.6. Validation Results</w:t>
      </w:r>
    </w:p>
    <w:p>
      <w:r>
        <w:t>The human-expert validation study produced three critical findings:</w:t>
      </w:r>
    </w:p>
    <w:p>
      <w:r>
        <w:rPr>
          <w:b/>
        </w:rPr>
        <w:t>Reliability Summary:</w:t>
      </w:r>
      <w:r>
        <w:t xml:space="preserve"> Inter-rater reliability analysis between the two PhD-level experts yielded strong agreement (Krippendorff's α = 0.82, 95% CI: 0.76-0.88), exceeding the α &gt; 0.80 threshold for acceptable agreement in clinical research. This strong human-to-human reliability establishes that the five evaluation criteria are clearly defined, interpretable, and consistently applied by trained experts, validating the evaluation matrix as a reliable assessment instrument independent of the AI evaluator.</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Reliability Metric</w:t>
            </w:r>
          </w:p>
        </w:tc>
        <w:tc>
          <w:tcPr>
            <w:tcW w:type="dxa" w:w="1984"/>
          </w:tcPr>
          <w:p>
            <w:r>
              <w:rPr>
                <w:rFonts w:ascii="Times New Roman" w:hAnsi="Times New Roman"/>
                <w:b/>
                <w:sz w:val="18"/>
              </w:rPr>
              <w:t>Result</w:t>
            </w:r>
          </w:p>
        </w:tc>
        <w:tc>
          <w:tcPr>
            <w:tcW w:type="dxa" w:w="1984"/>
          </w:tcPr>
          <w:p>
            <w:r>
              <w:rPr>
                <w:rFonts w:ascii="Times New Roman" w:hAnsi="Times New Roman"/>
                <w:b/>
                <w:sz w:val="18"/>
              </w:rPr>
              <w:t>Interpretation</w:t>
            </w:r>
          </w:p>
        </w:tc>
        <w:tc>
          <w:tcPr>
            <w:tcW w:type="dxa" w:w="1984"/>
          </w:tcPr>
          <w:p>
            <w:r>
              <w:rPr>
                <w:rFonts w:ascii="Times New Roman" w:hAnsi="Times New Roman"/>
                <w:b/>
                <w:sz w:val="18"/>
              </w:rPr>
              <w:t>Threshold</w:t>
            </w:r>
          </w:p>
        </w:tc>
        <w:tc>
          <w:tcPr>
            <w:tcW w:type="dxa" w:w="1984"/>
          </w:tcPr>
          <w:p>
            <w:r>
              <w:rPr>
                <w:rFonts w:ascii="Times New Roman" w:hAnsi="Times New Roman"/>
                <w:b/>
                <w:sz w:val="18"/>
              </w:rPr>
              <w:t>Status</w:t>
            </w:r>
          </w:p>
        </w:tc>
      </w:tr>
      <w:tr>
        <w:tc>
          <w:tcPr>
            <w:tcW w:type="dxa" w:w="1984"/>
          </w:tcPr>
          <w:p>
            <w:r>
              <w:rPr>
                <w:rFonts w:ascii="Times New Roman" w:hAnsi="Times New Roman"/>
                <w:sz w:val="18"/>
              </w:rPr>
              <w:t>Human-to-Human Agreement</w:t>
            </w:r>
          </w:p>
        </w:tc>
        <w:tc>
          <w:tcPr>
            <w:tcW w:type="dxa" w:w="1984"/>
          </w:tcPr>
          <w:p>
            <w:r>
              <w:rPr>
                <w:rFonts w:ascii="Times New Roman" w:hAnsi="Times New Roman"/>
                <w:sz w:val="18"/>
              </w:rPr>
              <w:t>α = 0.82 (95% CI: 0.76-0.88)</w:t>
            </w:r>
          </w:p>
        </w:tc>
        <w:tc>
          <w:tcPr>
            <w:tcW w:type="dxa" w:w="1984"/>
          </w:tcPr>
          <w:p>
            <w:r>
              <w:rPr>
                <w:rFonts w:ascii="Times New Roman" w:hAnsi="Times New Roman"/>
                <w:sz w:val="18"/>
              </w:rPr>
              <w:t>Strong reliability</w:t>
            </w:r>
          </w:p>
        </w:tc>
        <w:tc>
          <w:tcPr>
            <w:tcW w:type="dxa" w:w="1984"/>
          </w:tcPr>
          <w:p>
            <w:r>
              <w:rPr>
                <w:rFonts w:ascii="Times New Roman" w:hAnsi="Times New Roman"/>
                <w:sz w:val="18"/>
              </w:rPr>
              <w:t>α &gt; 0.80</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AI-to-Human Alignment</w:t>
            </w:r>
          </w:p>
        </w:tc>
        <w:tc>
          <w:tcPr>
            <w:tcW w:type="dxa" w:w="1984"/>
          </w:tcPr>
          <w:p>
            <w:r>
              <w:rPr>
                <w:rFonts w:ascii="Times New Roman" w:hAnsi="Times New Roman"/>
                <w:sz w:val="18"/>
              </w:rPr>
              <w:t>κ = 0.89 (95% CI: 0.84-0.94)</w:t>
            </w:r>
          </w:p>
        </w:tc>
        <w:tc>
          <w:tcPr>
            <w:tcW w:type="dxa" w:w="1984"/>
          </w:tcPr>
          <w:p>
            <w:r>
              <w:rPr>
                <w:rFonts w:ascii="Times New Roman" w:hAnsi="Times New Roman"/>
                <w:sz w:val="18"/>
              </w:rPr>
              <w:t>Excellent agreement</w:t>
            </w:r>
          </w:p>
        </w:tc>
        <w:tc>
          <w:tcPr>
            <w:tcW w:type="dxa" w:w="1984"/>
          </w:tcPr>
          <w:p>
            <w:r>
              <w:rPr>
                <w:rFonts w:ascii="Times New Roman" w:hAnsi="Times New Roman"/>
                <w:sz w:val="18"/>
              </w:rPr>
              <w:t>κ &gt; 0.80</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Detection Accuracy</w:t>
            </w:r>
          </w:p>
        </w:tc>
        <w:tc>
          <w:tcPr>
            <w:tcW w:type="dxa" w:w="1984"/>
          </w:tcPr>
          <w:p>
            <w:r>
              <w:rPr>
                <w:rFonts w:ascii="Times New Roman" w:hAnsi="Times New Roman"/>
                <w:sz w:val="18"/>
              </w:rPr>
              <w:t>κ = 0.92</w:t>
            </w:r>
          </w:p>
        </w:tc>
        <w:tc>
          <w:tcPr>
            <w:tcW w:type="dxa" w:w="1984"/>
          </w:tcPr>
          <w:p>
            <w:r>
              <w:rPr>
                <w:rFonts w:ascii="Times New Roman" w:hAnsi="Times New Roman"/>
                <w:sz w:val="18"/>
              </w:rPr>
              <w:t>Near-perfect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Regulation Effectiveness</w:t>
            </w:r>
          </w:p>
        </w:tc>
        <w:tc>
          <w:tcPr>
            <w:tcW w:type="dxa" w:w="1984"/>
          </w:tcPr>
          <w:p>
            <w:r>
              <w:rPr>
                <w:rFonts w:ascii="Times New Roman" w:hAnsi="Times New Roman"/>
                <w:sz w:val="18"/>
              </w:rPr>
              <w:t>κ = 0.88</w:t>
            </w:r>
          </w:p>
        </w:tc>
        <w:tc>
          <w:tcPr>
            <w:tcW w:type="dxa" w:w="1984"/>
          </w:tcPr>
          <w:p>
            <w:r>
              <w:rPr>
                <w:rFonts w:ascii="Times New Roman" w:hAnsi="Times New Roman"/>
                <w:sz w:val="18"/>
              </w:rPr>
              <w:t>Excellent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Emotional Tone</w:t>
            </w:r>
          </w:p>
        </w:tc>
        <w:tc>
          <w:tcPr>
            <w:tcW w:type="dxa" w:w="1984"/>
          </w:tcPr>
          <w:p>
            <w:r>
              <w:rPr>
                <w:rFonts w:ascii="Times New Roman" w:hAnsi="Times New Roman"/>
                <w:sz w:val="18"/>
              </w:rPr>
              <w:t>κ = 0.86</w:t>
            </w:r>
          </w:p>
        </w:tc>
        <w:tc>
          <w:tcPr>
            <w:tcW w:type="dxa" w:w="1984"/>
          </w:tcPr>
          <w:p>
            <w:r>
              <w:rPr>
                <w:rFonts w:ascii="Times New Roman" w:hAnsi="Times New Roman"/>
                <w:sz w:val="18"/>
              </w:rPr>
              <w:t>Excellent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Relevance &amp; Coherence</w:t>
            </w:r>
          </w:p>
        </w:tc>
        <w:tc>
          <w:tcPr>
            <w:tcW w:type="dxa" w:w="1984"/>
          </w:tcPr>
          <w:p>
            <w:r>
              <w:rPr>
                <w:rFonts w:ascii="Times New Roman" w:hAnsi="Times New Roman"/>
                <w:sz w:val="18"/>
              </w:rPr>
              <w:t>κ = 0.91</w:t>
            </w:r>
          </w:p>
        </w:tc>
        <w:tc>
          <w:tcPr>
            <w:tcW w:type="dxa" w:w="1984"/>
          </w:tcPr>
          <w:p>
            <w:r>
              <w:rPr>
                <w:rFonts w:ascii="Times New Roman" w:hAnsi="Times New Roman"/>
                <w:sz w:val="18"/>
              </w:rPr>
              <w:t>Near-perfect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r>
        <w:tc>
          <w:tcPr>
            <w:tcW w:type="dxa" w:w="1984"/>
          </w:tcPr>
          <w:p>
            <w:r>
              <w:rPr>
                <w:rFonts w:ascii="Times New Roman" w:hAnsi="Times New Roman"/>
                <w:sz w:val="18"/>
              </w:rPr>
              <w:t>Personality Needs</w:t>
            </w:r>
          </w:p>
        </w:tc>
        <w:tc>
          <w:tcPr>
            <w:tcW w:type="dxa" w:w="1984"/>
          </w:tcPr>
          <w:p>
            <w:r>
              <w:rPr>
                <w:rFonts w:ascii="Times New Roman" w:hAnsi="Times New Roman"/>
                <w:sz w:val="18"/>
              </w:rPr>
              <w:t>κ = 0.87</w:t>
            </w:r>
          </w:p>
        </w:tc>
        <w:tc>
          <w:tcPr>
            <w:tcW w:type="dxa" w:w="1984"/>
          </w:tcPr>
          <w:p>
            <w:r>
              <w:rPr>
                <w:rFonts w:ascii="Times New Roman" w:hAnsi="Times New Roman"/>
                <w:sz w:val="18"/>
              </w:rPr>
              <w:t>Excellent</w:t>
            </w:r>
          </w:p>
        </w:tc>
        <w:tc>
          <w:tcPr>
            <w:tcW w:type="dxa" w:w="1984"/>
          </w:tcPr>
          <w:p>
            <w:r>
              <w:rPr>
                <w:rFonts w:ascii="Times New Roman" w:hAnsi="Times New Roman"/>
                <w:sz w:val="18"/>
              </w:rPr>
              <w:t>—</w:t>
            </w:r>
          </w:p>
        </w:tc>
        <w:tc>
          <w:tcPr>
            <w:tcW w:type="dxa" w:w="1984"/>
          </w:tcPr>
          <w:p>
            <w:r>
              <w:rPr>
                <w:rFonts w:ascii="Times New Roman" w:hAnsi="Times New Roman"/>
                <w:sz w:val="18"/>
              </w:rPr>
              <w:t>✅ Excellent</w:t>
            </w:r>
          </w:p>
        </w:tc>
      </w:tr>
    </w:tbl>
    <w:p/>
    <w:p>
      <w:r>
        <w:t>AI-to-human agreement quantified using Cohen's Kappa yielded κ = 0.89 (95% CI: 0.84-0.94)—excellent agreement well exceeding the κ &gt; 0.80 threshold. Consensus human ratings were calculated using majority voting (≥2 experts agreeing = consensus rating). Criterion-specific analysis revealed consistent agreement across all metrics (κ = 0.86-0.92), indicating no metric-specific bias where the evaluator might favor particular evaluation dimensions. This across-the-board agreement demonstrates that Evaluator GPT's assessments align with independent expert judgment and that observed performance differences reflect genuine quality distinctions detectable by human experts, not simply AI-rating-AI favorability bias.</w:t>
      </w:r>
    </w:p>
    <w:p>
      <w:r>
        <w:rPr>
          <w:b/>
        </w:rPr>
        <w:t>Validation Interpretation:</w:t>
      </w:r>
      <w:r>
        <w:t xml:space="preserve"> Three conclusions emerge from the validation protocol:</w:t>
      </w:r>
    </w:p>
    <w:p>
      <w:r>
        <w:t xml:space="preserve">1. </w:t>
      </w:r>
      <w:r>
        <w:rPr>
          <w:b/>
        </w:rPr>
        <w:t>Evaluation Matrix Validity:</w:t>
      </w:r>
      <w:r>
        <w:t xml:space="preserve"> Strong human inter-rater reliability (α = 0.82) validates that the five evaluation criteria are sound, interpretable, and consistently applied by trained experts, establishing the assessment framework as reliable independent of the AI evaluator.</w:t>
      </w:r>
    </w:p>
    <w:p>
      <w:r>
        <w:t xml:space="preserve">2. </w:t>
      </w:r>
      <w:r>
        <w:rPr>
          <w:b/>
        </w:rPr>
        <w:t>Evaluator GPT Reliability:</w:t>
      </w:r>
      <w:r>
        <w:t xml:space="preserve"> Excellent AI-to-human agreement (κ = 0.89) demonstrates that the Evaluator GPT produces assessments aligned with independent expert judgment, with criterion-specific agreement (κ = 0.86-0.92) confirming no metric-specific bias.</w:t>
      </w:r>
    </w:p>
    <w:p>
      <w:r>
        <w:t xml:space="preserve">3. </w:t>
      </w:r>
      <w:r>
        <w:rPr>
          <w:b/>
        </w:rPr>
        <w:t>Mitigation of Circular Validation:</w:t>
      </w:r>
      <w:r>
        <w:t xml:space="preserve"> This validation protocol directly addresses the "AI-evaluating-AI" concern through: (a) independent experts with clinical expertise and algorithmic bias training, (b) rigorous double-blinding eliminating information about conditions and AI scores, (c) stratified sampling ensuring representative coverage, (d) transparent reporting with confidence intervals, and (e) criterion-specific analysis detecting potential domain-specific bias.</w:t>
      </w:r>
    </w:p>
    <w:p>
      <w:r>
        <w:rPr>
          <w:b/>
        </w:rPr>
        <w:t>Limitations of Validation:</w:t>
      </w:r>
      <w:r>
        <w:t xml:space="preserve"> Important caveats qualify these strong results:</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Limitation</w:t>
            </w:r>
          </w:p>
        </w:tc>
        <w:tc>
          <w:tcPr>
            <w:tcW w:type="dxa" w:w="2480"/>
          </w:tcPr>
          <w:p>
            <w:r>
              <w:rPr>
                <w:rFonts w:ascii="Times New Roman" w:hAnsi="Times New Roman"/>
                <w:b/>
                <w:sz w:val="18"/>
              </w:rPr>
              <w:t>Scope</w:t>
            </w:r>
          </w:p>
        </w:tc>
        <w:tc>
          <w:tcPr>
            <w:tcW w:type="dxa" w:w="2480"/>
          </w:tcPr>
          <w:p>
            <w:r>
              <w:rPr>
                <w:rFonts w:ascii="Times New Roman" w:hAnsi="Times New Roman"/>
                <w:b/>
                <w:sz w:val="18"/>
              </w:rPr>
              <w:t>Impact</w:t>
            </w:r>
          </w:p>
        </w:tc>
        <w:tc>
          <w:tcPr>
            <w:tcW w:type="dxa" w:w="2480"/>
          </w:tcPr>
          <w:p>
            <w:r>
              <w:rPr>
                <w:rFonts w:ascii="Times New Roman" w:hAnsi="Times New Roman"/>
                <w:b/>
                <w:sz w:val="18"/>
              </w:rPr>
              <w:t>Mitigation</w:t>
            </w:r>
          </w:p>
        </w:tc>
      </w:tr>
      <w:tr>
        <w:tc>
          <w:tcPr>
            <w:tcW w:type="dxa" w:w="2480"/>
          </w:tcPr>
          <w:p>
            <w:r>
              <w:rPr>
                <w:rFonts w:ascii="Times New Roman" w:hAnsi="Times New Roman"/>
                <w:sz w:val="18"/>
              </w:rPr>
              <w:t>Partial Sample Coverage (25%)</w:t>
            </w:r>
          </w:p>
        </w:tc>
        <w:tc>
          <w:tcPr>
            <w:tcW w:type="dxa" w:w="2480"/>
          </w:tcPr>
          <w:p>
            <w:r>
              <w:rPr>
                <w:rFonts w:ascii="Times New Roman" w:hAnsi="Times New Roman"/>
                <w:sz w:val="18"/>
              </w:rPr>
              <w:t>90 turns unverified</w:t>
            </w:r>
          </w:p>
        </w:tc>
        <w:tc>
          <w:tcPr>
            <w:tcW w:type="dxa" w:w="2480"/>
          </w:tcPr>
          <w:p>
            <w:r>
              <w:rPr>
                <w:rFonts w:ascii="Times New Roman" w:hAnsi="Times New Roman"/>
                <w:sz w:val="18"/>
              </w:rPr>
              <w:t>Potential unmapped biases in 75% of data</w:t>
            </w:r>
          </w:p>
        </w:tc>
        <w:tc>
          <w:tcPr>
            <w:tcW w:type="dxa" w:w="2480"/>
          </w:tcPr>
          <w:p>
            <w:r>
              <w:rPr>
                <w:rFonts w:ascii="Times New Roman" w:hAnsi="Times New Roman"/>
                <w:sz w:val="18"/>
              </w:rPr>
              <w:t>Stratified sampling reduces systematic bias risk; validation extends to all evaluation dimensions</w:t>
            </w:r>
          </w:p>
        </w:tc>
      </w:tr>
      <w:tr>
        <w:tc>
          <w:tcPr>
            <w:tcW w:type="dxa" w:w="2480"/>
          </w:tcPr>
          <w:p>
            <w:r>
              <w:rPr>
                <w:rFonts w:ascii="Times New Roman" w:hAnsi="Times New Roman"/>
                <w:sz w:val="18"/>
              </w:rPr>
              <w:t>Shared Foundation Model</w:t>
            </w:r>
          </w:p>
        </w:tc>
        <w:tc>
          <w:tcPr>
            <w:tcW w:type="dxa" w:w="2480"/>
          </w:tcPr>
          <w:p>
            <w:r>
              <w:rPr>
                <w:rFonts w:ascii="Times New Roman" w:hAnsi="Times New Roman"/>
                <w:sz w:val="18"/>
              </w:rPr>
              <w:t>Both use GPT-4</w:t>
            </w:r>
          </w:p>
        </w:tc>
        <w:tc>
          <w:tcPr>
            <w:tcW w:type="dxa" w:w="2480"/>
          </w:tcPr>
          <w:p>
            <w:r>
              <w:rPr>
                <w:rFonts w:ascii="Times New Roman" w:hAnsi="Times New Roman"/>
                <w:sz w:val="18"/>
              </w:rPr>
              <w:t>Possible inflated agreement from semantic similarity</w:t>
            </w:r>
          </w:p>
        </w:tc>
        <w:tc>
          <w:tcPr>
            <w:tcW w:type="dxa" w:w="2480"/>
          </w:tcPr>
          <w:p>
            <w:r>
              <w:rPr>
                <w:rFonts w:ascii="Times New Roman" w:hAnsi="Times New Roman"/>
                <w:sz w:val="18"/>
              </w:rPr>
              <w:t>Human validation confirms genuine differences; criterion-specific analysis shows no bias pattern</w:t>
            </w:r>
          </w:p>
        </w:tc>
      </w:tr>
      <w:tr>
        <w:tc>
          <w:tcPr>
            <w:tcW w:type="dxa" w:w="2480"/>
          </w:tcPr>
          <w:p>
            <w:r>
              <w:rPr>
                <w:rFonts w:ascii="Times New Roman" w:hAnsi="Times New Roman"/>
                <w:sz w:val="18"/>
              </w:rPr>
              <w:t>Simulated Context Only</w:t>
            </w:r>
          </w:p>
        </w:tc>
        <w:tc>
          <w:tcPr>
            <w:tcW w:type="dxa" w:w="2480"/>
          </w:tcPr>
          <w:p>
            <w:r>
              <w:rPr>
                <w:rFonts w:ascii="Times New Roman" w:hAnsi="Times New Roman"/>
                <w:sz w:val="18"/>
              </w:rPr>
              <w:t>No spontaneous real-world dialogue</w:t>
            </w:r>
          </w:p>
        </w:tc>
        <w:tc>
          <w:tcPr>
            <w:tcW w:type="dxa" w:w="2480"/>
          </w:tcPr>
          <w:p>
            <w:r>
              <w:rPr>
                <w:rFonts w:ascii="Times New Roman" w:hAnsi="Times New Roman"/>
                <w:sz w:val="18"/>
              </w:rPr>
              <w:t>Validation sample may not represent authentic user interactions</w:t>
            </w:r>
          </w:p>
        </w:tc>
        <w:tc>
          <w:tcPr>
            <w:tcW w:type="dxa" w:w="2480"/>
          </w:tcPr>
          <w:p>
            <w:r>
              <w:rPr>
                <w:rFonts w:ascii="Times New Roman" w:hAnsi="Times New Roman"/>
                <w:sz w:val="18"/>
              </w:rPr>
              <w:t>Proof-of-concept design justified for early-stage research; future work extends to human subjects</w:t>
            </w:r>
          </w:p>
        </w:tc>
      </w:tr>
    </w:tbl>
    <w:p/>
    <w:p>
      <w:r>
        <w:rPr>
          <w:b/>
        </w:rPr>
        <w:t>Decision Rationale:</w:t>
      </w:r>
      <w:r>
        <w:t xml:space="preserve"> Despite limitations, AI-based evaluation with human validation was methodologically appropriate because: (1) manual evaluation of 120 turns would require 40-60 expert hours; AI evaluation enables complete dataset assessment with perfect consistency; (2) evaluator reasoning can be audited through system prompts and structured output, enabling post-hoc validation; (3) AI evaluation eliminates rater fatigue bias inherent in human-only evaluation; (4) human validation study balances rigor with practical feasibility; and (5) empirical results (α = 0.82, κ = 0.89) provide direct evidence that efficiency gains have not compromised validity.</w:t>
      </w:r>
    </w:p>
    <w:p>
      <w:pPr>
        <w:pStyle w:val="Heading3"/>
      </w:pPr>
      <w:r>
        <w:t>3.5.7. Study Design Diagram</w:t>
      </w:r>
    </w:p>
    <w:p>
      <w:r>
        <w:rPr>
          <w:rFonts w:ascii="Courier New" w:hAnsi="Courier New"/>
          <w:sz w:val="20"/>
        </w:rPr>
      </w:r>
      <w:r>
        <w:rPr>
          <w:rFonts w:ascii="Courier New" w:hAnsi="Courier New"/>
          <w:sz w:val="20"/>
        </w:rPr>
      </w:r>
    </w:p>
    <w:p>
      <w:r>
        <w:t>┌──────────────────────────┐</w:t>
      </w:r>
    </w:p>
    <w:p>
      <w:r>
        <w:t>│   20 Agent Instances     │</w:t>
      </w:r>
    </w:p>
    <w:p>
      <w:r>
        <w:t>│   (10 per personality)   │</w:t>
      </w:r>
    </w:p>
    <w:p>
      <w:r>
        <w:t>└────────────┬─────────────┘</w:t>
      </w:r>
    </w:p>
    <w:p>
      <w:r>
        <w:t>│</w:t>
      </w:r>
    </w:p>
    <w:p>
      <w:r>
        <w:t>┌────────┴────────┐</w:t>
      </w:r>
    </w:p>
    <w:p>
      <w:r>
        <w:t>│                 │</w:t>
      </w:r>
    </w:p>
    <w:p>
      <w:r>
        <w:t>┌────▼───┐        ┌───▼────┐</w:t>
      </w:r>
    </w:p>
    <w:p>
      <w:r>
        <w:t>│ Type A  │        │ Type B  │</w:t>
      </w:r>
    </w:p>
    <w:p>
      <w:r>
        <w:t>│ (5 R:5 B)        │ (5 R:5 B)</w:t>
      </w:r>
    </w:p>
    <w:p>
      <w:r>
        <w:t>└────┬───┘        └───┬────┘</w:t>
      </w:r>
    </w:p>
    <w:p>
      <w:r>
        <w:t>│                 │</w:t>
      </w:r>
    </w:p>
    <w:p>
      <w:r>
        <w:t>┌───┴─────────────────┴──┐</w:t>
      </w:r>
    </w:p>
    <w:p>
      <w:r>
        <w:t>│  120 Total Dialogues   │</w:t>
      </w:r>
    </w:p>
    <w:p>
      <w:r>
        <w:t>│  (6 turns each)        │</w:t>
      </w:r>
    </w:p>
    <w:p>
      <w:r>
        <w:t>└───┬──────────────────┬─┘</w:t>
      </w:r>
    </w:p>
    <w:p>
      <w:r>
        <w:t>│                  │</w:t>
      </w:r>
    </w:p>
    <w:p>
      <w:r>
        <w:t>┌────▼──┐         ┌─────▼────┐</w:t>
      </w:r>
    </w:p>
    <w:p>
      <w:r>
        <w:t>│ AI    │         │  Human   │</w:t>
      </w:r>
    </w:p>
    <w:p>
      <w:r>
        <w:t>│ Eval  │         │  Experts │</w:t>
      </w:r>
    </w:p>
    <w:p>
      <w:r>
        <w:t>│(120)  │         │ (30 @25%)│</w:t>
      </w:r>
    </w:p>
    <w:p>
      <w:r>
        <w:t>└────┬──┘         └─────┬────┘</w:t>
      </w:r>
    </w:p>
    <w:p>
      <w:r>
        <w:t>│                  │</w:t>
      </w:r>
    </w:p>
    <w:p>
      <w:r>
        <w:t>┌───┴──────────────────┴──┐</w:t>
      </w:r>
    </w:p>
    <w:p>
      <w:r>
        <w:t>│  Reliability Analysis    │</w:t>
      </w:r>
    </w:p>
    <w:p>
      <w:r>
        <w:t>│  α=0.82, κ=0.89         │</w:t>
      </w:r>
    </w:p>
    <w:p>
      <w:r>
        <w:t>│  All metrics excellent  │</w:t>
      </w:r>
    </w:p>
    <w:p>
      <w:r>
        <w:t>└────────────────────────┘</w:t>
      </w:r>
    </w:p>
    <w:p>
      <w:r>
        <w:rPr>
          <w:rFonts w:ascii="Courier New" w:hAnsi="Courier New"/>
          <w:sz w:val="20"/>
        </w:rPr>
      </w:r>
      <w:r>
        <w:rPr>
          <w:rFonts w:ascii="Courier New" w:hAnsi="Courier New"/>
          <w:sz w:val="20"/>
        </w:rPr>
      </w:r>
    </w:p>
    <w:p>
      <w:pPr>
        <w:jc w:val="center"/>
      </w:pPr>
      <w:r>
        <w:drawing>
          <wp:inline xmlns:a="http://schemas.openxmlformats.org/drawingml/2006/main" xmlns:pic="http://schemas.openxmlformats.org/drawingml/2006/picture">
            <wp:extent cx="5486400" cy="3636199"/>
            <wp:docPr id="1" name="Picture 1"/>
            <wp:cNvGraphicFramePr>
              <a:graphicFrameLocks noChangeAspect="1"/>
            </wp:cNvGraphicFramePr>
            <a:graphic>
              <a:graphicData uri="http://schemas.openxmlformats.org/drawingml/2006/picture">
                <pic:pic>
                  <pic:nvPicPr>
                    <pic:cNvPr id="0" name="10_system_overview.png"/>
                    <pic:cNvPicPr/>
                  </pic:nvPicPr>
                  <pic:blipFill>
                    <a:blip r:embed="rId9"/>
                    <a:stretch>
                      <a:fillRect/>
                    </a:stretch>
                  </pic:blipFill>
                  <pic:spPr>
                    <a:xfrm>
                      <a:off x="0" y="0"/>
                      <a:ext cx="5486400" cy="3636199"/>
                    </a:xfrm>
                    <a:prstGeom prst="rect"/>
                  </pic:spPr>
                </pic:pic>
              </a:graphicData>
            </a:graphic>
          </wp:inline>
        </w:drawing>
      </w:r>
    </w:p>
    <w:p>
      <w:pPr>
        <w:jc w:val="center"/>
      </w:pPr>
      <w:r>
        <w:rPr>
          <w:rFonts w:ascii="Times New Roman" w:hAnsi="Times New Roman"/>
          <w:b/>
          <w:sz w:val="20"/>
        </w:rPr>
        <w:t xml:space="preserve">Figure 10. </w:t>
      </w:r>
      <w:r>
        <w:rPr>
          <w:rFonts w:ascii="Times New Roman" w:hAnsi="Times New Roman"/>
          <w:sz w:val="20"/>
        </w:rPr>
        <w:t>System architecture overview integrating personality detection and behavior regulation modules. The diagram shows the integration of real-time Big Five personality inference (Openness, Conscientiousness, Extraversion, Agreeableness, Neuroticism) with the Zurich Model-based behavior regulation engine, demonstrating how detected personality traits trigger trait-specific adaptations across security, arousal, and affiliation motivational systems.</w:t>
      </w:r>
    </w:p>
    <w:p>
      <w:pPr>
        <w:pStyle w:val="Heading3"/>
      </w:pPr>
      <w:r>
        <w:t>3.5.8. Conclusion of Experimental Protocol</w:t>
      </w:r>
    </w:p>
    <w:p>
      <w:r>
        <w:t>This experimental design provided a rigorous, controlled assessment of personality-adaptive conversational AI through: (1) extreme personality profiles maximizing detection signal, (2) randomized agent assignment and baseline controls, (3) standardized dialogue structure enabling valid measurement, (4) AI-based evaluation enabling complete dataset assessment, and (5) human-expert validation confirming evaluation validity. The protocol addresses potential threats to validity through explicit design choices and empirical validation, establishing confidence in the reported findings while acknowledging design limitations (simulation-only context, extreme profiles, text-only detection) that restrict generalizability to real-world applications.</w:t>
      </w:r>
    </w:p>
    <w:p>
      <w:pPr>
        <w:jc w:val="center"/>
      </w:pPr>
      <w:r>
        <w:drawing>
          <wp:inline xmlns:a="http://schemas.openxmlformats.org/drawingml/2006/main" xmlns:pic="http://schemas.openxmlformats.org/drawingml/2006/picture">
            <wp:extent cx="5486400" cy="4103127"/>
            <wp:docPr id="2" name="Picture 2"/>
            <wp:cNvGraphicFramePr>
              <a:graphicFrameLocks noChangeAspect="1"/>
            </wp:cNvGraphicFramePr>
            <a:graphic>
              <a:graphicData uri="http://schemas.openxmlformats.org/drawingml/2006/picture">
                <pic:pic>
                  <pic:nvPicPr>
                    <pic:cNvPr id="0" name="11_study_workflow.png"/>
                    <pic:cNvPicPr/>
                  </pic:nvPicPr>
                  <pic:blipFill>
                    <a:blip r:embed="rId10"/>
                    <a:stretch>
                      <a:fillRect/>
                    </a:stretch>
                  </pic:blipFill>
                  <pic:spPr>
                    <a:xfrm>
                      <a:off x="0" y="0"/>
                      <a:ext cx="5486400" cy="4103127"/>
                    </a:xfrm>
                    <a:prstGeom prst="rect"/>
                  </pic:spPr>
                </pic:pic>
              </a:graphicData>
            </a:graphic>
          </wp:inline>
        </w:drawing>
      </w:r>
    </w:p>
    <w:p>
      <w:pPr>
        <w:jc w:val="center"/>
      </w:pPr>
      <w:r>
        <w:rPr>
          <w:rFonts w:ascii="Times New Roman" w:hAnsi="Times New Roman"/>
          <w:b/>
          <w:sz w:val="20"/>
        </w:rPr>
        <w:t xml:space="preserve">Figure 11. </w:t>
      </w:r>
      <w:r>
        <w:rPr>
          <w:rFonts w:ascii="Times New Roman" w:hAnsi="Times New Roman"/>
          <w:sz w:val="20"/>
        </w:rPr>
        <w:t>Complete research workflow from experimental setup through analysis. The diagram illustrates the stratified random sampling of 20 agents (10 per personality type), 120 dialogue turns with controlled structure (6 turns per agent), parallel evaluation by AI Evaluator GPT and human expert panel on stratified sample (25% = 30 turns), calculation of inter-rater reliability metrics (Krippendorff's Alpha α = 0.82, Cohen's Kappa κ = 0.89), and final statistical analysis including effect size computation (Cohen's d = 4.58).</w:t>
      </w:r>
    </w:p>
    <w:p>
      <w:pPr>
        <w:pStyle w:val="Heading2"/>
      </w:pPr>
      <w:r>
        <w:t>Data Availability</w:t>
      </w:r>
    </w:p>
    <w:p>
      <w:r>
        <w:rPr>
          <w:b/>
        </w:rPr>
        <w:t>Code and Data Repository</w:t>
      </w:r>
      <w:r>
        <w:t>: Complete implementation code, detection prompts, regulation templates, and experimental data will be made available at: https://github.com/[username]/personality-ai-simulation [to be created upon publication].</w:t>
      </w:r>
    </w:p>
    <w:p>
      <w:r>
        <w:rPr>
          <w:b/>
        </w:rPr>
        <w:t>Supplementary Materials</w:t>
      </w:r>
      <w:r>
        <w:t>: Available as separate files containing complete detection algorithms, regulation prompts, conversation transcripts, and evaluation metrics.</w:t>
      </w:r>
    </w:p>
    <w:p>
      <w:pPr>
        <w:pStyle w:val="Heading1"/>
      </w:pPr>
      <w:r>
        <w:t>4. Results</w:t>
      </w:r>
    </w:p>
    <w:p>
      <w:pPr>
        <w:pStyle w:val="Heading2"/>
      </w:pPr>
      <w:r>
        <w:t>4.1. Data Quality and Sample Distribution</w:t>
      </w:r>
    </w:p>
    <w:p>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pPr>
        <w:jc w:val="center"/>
      </w:pPr>
      <w:r>
        <w:drawing>
          <wp:inline xmlns:a="http://schemas.openxmlformats.org/drawingml/2006/main" xmlns:pic="http://schemas.openxmlformats.org/drawingml/2006/picture">
            <wp:extent cx="5486400" cy="2289223"/>
            <wp:docPr id="3" name="Picture 3"/>
            <wp:cNvGraphicFramePr>
              <a:graphicFrameLocks noChangeAspect="1"/>
            </wp:cNvGraphicFramePr>
            <a:graphic>
              <a:graphicData uri="http://schemas.openxmlformats.org/drawingml/2006/picture">
                <pic:pic>
                  <pic:nvPicPr>
                    <pic:cNvPr id="0" name="01_sample_distribution.png"/>
                    <pic:cNvPicPr/>
                  </pic:nvPicPr>
                  <pic:blipFill>
                    <a:blip r:embed="rId11"/>
                    <a:stretch>
                      <a:fillRect/>
                    </a:stretch>
                  </pic:blipFill>
                  <pic:spPr>
                    <a:xfrm>
                      <a:off x="0" y="0"/>
                      <a:ext cx="5486400" cy="2289223"/>
                    </a:xfrm>
                    <a:prstGeom prst="rect"/>
                  </pic:spPr>
                </pic:pic>
              </a:graphicData>
            </a:graphic>
          </wp:inline>
        </w:drawing>
      </w:r>
    </w:p>
    <w:p>
      <w:pPr>
        <w:jc w:val="center"/>
      </w:pPr>
      <w:r>
        <w:rPr>
          <w:rFonts w:ascii="Times New Roman" w:hAnsi="Times New Roman"/>
          <w:b/>
          <w:sz w:val="20"/>
        </w:rPr>
        <w:t xml:space="preserve">Figure 1. </w:t>
      </w:r>
      <w:r>
        <w:rPr>
          <w:rFonts w:ascii="Times New Roman" w:hAnsi="Times New Roman"/>
          <w:sz w:val="20"/>
        </w:rPr>
        <w:t>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r>
        <w:t>Data quality assessment revealed minimal missing data (&lt;2%) across all evaluation metrics, with no systematic patterns of missingness by condition or personality type (Figure 2).</w:t>
      </w:r>
    </w:p>
    <w:p>
      <w:pPr>
        <w:jc w:val="center"/>
      </w:pPr>
      <w:r>
        <w:drawing>
          <wp:inline xmlns:a="http://schemas.openxmlformats.org/drawingml/2006/main" xmlns:pic="http://schemas.openxmlformats.org/drawingml/2006/picture">
            <wp:extent cx="5486400" cy="2349984"/>
            <wp:docPr id="4" name="Picture 4"/>
            <wp:cNvGraphicFramePr>
              <a:graphicFrameLocks noChangeAspect="1"/>
            </wp:cNvGraphicFramePr>
            <a:graphic>
              <a:graphicData uri="http://schemas.openxmlformats.org/drawingml/2006/picture">
                <pic:pic>
                  <pic:nvPicPr>
                    <pic:cNvPr id="0" name="02_missing_data_heatmap.png"/>
                    <pic:cNvPicPr/>
                  </pic:nvPicPr>
                  <pic:blipFill>
                    <a:blip r:embed="rId12"/>
                    <a:stretch>
                      <a:fillRect/>
                    </a:stretch>
                  </pic:blipFill>
                  <pic:spPr>
                    <a:xfrm>
                      <a:off x="0" y="0"/>
                      <a:ext cx="5486400" cy="2349984"/>
                    </a:xfrm>
                    <a:prstGeom prst="rect"/>
                  </pic:spPr>
                </pic:pic>
              </a:graphicData>
            </a:graphic>
          </wp:inline>
        </w:drawing>
      </w:r>
    </w:p>
    <w:p>
      <w:pPr>
        <w:jc w:val="center"/>
      </w:pPr>
      <w:r>
        <w:rPr>
          <w:rFonts w:ascii="Times New Roman" w:hAnsi="Times New Roman"/>
          <w:b/>
          <w:sz w:val="20"/>
        </w:rPr>
        <w:t xml:space="preserve">Figure 2. </w:t>
      </w:r>
      <w:r>
        <w:rPr>
          <w:rFonts w:ascii="Times New Roman" w:hAnsi="Times New Roman"/>
          <w:sz w:val="20"/>
        </w:rPr>
        <w:t>Missing data heatmap across evaluation metrics and experimental conditions. White cells indicate complete data; gray cells indicate missing values. Overall missingness rate: 1.7%. No systematic bias detected by condition or personality type.</w:t>
      </w:r>
    </w:p>
    <w:p>
      <w:pPr>
        <w:pStyle w:val="Heading2"/>
      </w:pPr>
      <w:r>
        <w:t>4.2. Detection and Regulation Performance</w:t>
      </w:r>
    </w:p>
    <w:p>
      <w:r>
        <w:t>Regulated agents achieved near-perfect performance on the core technical requirements of personality detection and regulation implementation.</w:t>
      </w:r>
    </w:p>
    <w:p>
      <w:r>
        <w:rPr>
          <w:b/>
        </w:rPr>
        <w:t>Detection and Regulation Performance Summary</w:t>
      </w:r>
    </w:p>
    <w:tbl>
      <w:tblPr>
        <w:tblStyle w:val="LightGrid-Accent1"/>
        <w:tblW w:type="auto" w:w="0"/>
        <w:tblLook w:firstColumn="1" w:firstRow="1" w:lastColumn="0" w:lastRow="0" w:noHBand="0" w:noVBand="1" w:val="04A0"/>
      </w:tblPr>
      <w:tblGrid>
        <w:gridCol w:w="2480"/>
        <w:gridCol w:w="2480"/>
        <w:gridCol w:w="2480"/>
        <w:gridCol w:w="2480"/>
      </w:tblGrid>
      <w:tr>
        <w:tc>
          <w:tcPr>
            <w:tcW w:type="dxa" w:w="2480"/>
          </w:tcPr>
          <w:p>
            <w:r>
              <w:rPr>
                <w:rFonts w:ascii="Times New Roman" w:hAnsi="Times New Roman"/>
                <w:b/>
                <w:sz w:val="18"/>
              </w:rPr>
              <w:t>Metric</w:t>
            </w:r>
          </w:p>
        </w:tc>
        <w:tc>
          <w:tcPr>
            <w:tcW w:type="dxa" w:w="2480"/>
          </w:tcPr>
          <w:p>
            <w:r>
              <w:rPr>
                <w:rFonts w:ascii="Times New Roman" w:hAnsi="Times New Roman"/>
                <w:b/>
                <w:sz w:val="18"/>
              </w:rPr>
              <w:t>Success Rate</w:t>
            </w:r>
          </w:p>
        </w:tc>
        <w:tc>
          <w:tcPr>
            <w:tcW w:type="dxa" w:w="2480"/>
          </w:tcPr>
          <w:p>
            <w:r>
              <w:rPr>
                <w:rFonts w:ascii="Times New Roman" w:hAnsi="Times New Roman"/>
                <w:b/>
                <w:sz w:val="18"/>
              </w:rPr>
              <w:t>n (Total)</w:t>
            </w:r>
          </w:p>
        </w:tc>
        <w:tc>
          <w:tcPr>
            <w:tcW w:type="dxa" w:w="2480"/>
          </w:tcPr>
          <w:p>
            <w:r>
              <w:rPr>
                <w:rFonts w:ascii="Times New Roman" w:hAnsi="Times New Roman"/>
                <w:b/>
                <w:sz w:val="18"/>
              </w:rPr>
              <w:t>95% CI</w:t>
            </w:r>
          </w:p>
        </w:tc>
      </w:tr>
      <w:tr>
        <w:tc>
          <w:tcPr>
            <w:tcW w:type="dxa" w:w="2480"/>
          </w:tcPr>
          <w:p>
            <w:r>
              <w:rPr>
                <w:rFonts w:ascii="Times New Roman" w:hAnsi="Times New Roman"/>
                <w:sz w:val="18"/>
              </w:rPr>
              <w:t>Detection Accuracy</w:t>
            </w:r>
          </w:p>
        </w:tc>
        <w:tc>
          <w:tcPr>
            <w:tcW w:type="dxa" w:w="2480"/>
          </w:tcPr>
          <w:p>
            <w:r>
              <w:rPr>
                <w:rFonts w:ascii="Times New Roman" w:hAnsi="Times New Roman"/>
                <w:sz w:val="18"/>
              </w:rPr>
              <w:t>100.00%</w:t>
            </w:r>
          </w:p>
        </w:tc>
        <w:tc>
          <w:tcPr>
            <w:tcW w:type="dxa" w:w="2480"/>
          </w:tcPr>
          <w:p>
            <w:r>
              <w:rPr>
                <w:rFonts w:ascii="Times New Roman" w:hAnsi="Times New Roman"/>
                <w:sz w:val="18"/>
              </w:rPr>
              <w:t>58/58</w:t>
            </w:r>
          </w:p>
        </w:tc>
        <w:tc>
          <w:tcPr>
            <w:tcW w:type="dxa" w:w="2480"/>
          </w:tcPr>
          <w:p>
            <w:r>
              <w:rPr>
                <w:rFonts w:ascii="Times New Roman" w:hAnsi="Times New Roman"/>
                <w:sz w:val="18"/>
              </w:rPr>
              <w:t>[93.8%, 100%]</w:t>
            </w:r>
          </w:p>
        </w:tc>
      </w:tr>
      <w:tr>
        <w:tc>
          <w:tcPr>
            <w:tcW w:type="dxa" w:w="2480"/>
          </w:tcPr>
          <w:p>
            <w:r>
              <w:rPr>
                <w:rFonts w:ascii="Times New Roman" w:hAnsi="Times New Roman"/>
                <w:sz w:val="18"/>
              </w:rPr>
              <w:t>Regulation Effectiveness</w:t>
            </w:r>
          </w:p>
        </w:tc>
        <w:tc>
          <w:tcPr>
            <w:tcW w:type="dxa" w:w="2480"/>
          </w:tcPr>
          <w:p>
            <w:r>
              <w:rPr>
                <w:rFonts w:ascii="Times New Roman" w:hAnsi="Times New Roman"/>
                <w:sz w:val="18"/>
              </w:rPr>
              <w:t>100.00%</w:t>
            </w:r>
          </w:p>
        </w:tc>
        <w:tc>
          <w:tcPr>
            <w:tcW w:type="dxa" w:w="2480"/>
          </w:tcPr>
          <w:p>
            <w:r>
              <w:rPr>
                <w:rFonts w:ascii="Times New Roman" w:hAnsi="Times New Roman"/>
                <w:sz w:val="18"/>
              </w:rPr>
              <w:t>59/59</w:t>
            </w:r>
          </w:p>
        </w:tc>
        <w:tc>
          <w:tcPr>
            <w:tcW w:type="dxa" w:w="2480"/>
          </w:tcPr>
          <w:p>
            <w:r>
              <w:rPr>
                <w:rFonts w:ascii="Times New Roman" w:hAnsi="Times New Roman"/>
                <w:sz w:val="18"/>
              </w:rPr>
              <w:t>[93.9%, 100%]</w:t>
            </w:r>
          </w:p>
        </w:tc>
      </w:tr>
    </w:tbl>
    <w:p/>
    <w:p>
      <w:r>
        <w:t>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pPr>
        <w:pStyle w:val="Heading2"/>
      </w:pPr>
      <w:r>
        <w:t>4.3. Statistical Comparison of Regulated vs. Baseline Performance</w:t>
      </w:r>
    </w:p>
    <w:p>
      <w:r>
        <w:t>The primary research question addressed whether personality-adaptive regulation produces measurable improvements in conversational quality compared to non-adaptive baselines. Table 2 presents the comprehensive statistical comparison for each evaluation metric.</w:t>
      </w:r>
    </w:p>
    <w:p>
      <w:r>
        <w:rPr>
          <w:b/>
        </w:rPr>
        <w:t>Statistical Comparison of Regulated vs. Baseline Agents Across Evaluation Metrics</w:t>
      </w:r>
    </w:p>
    <w:tbl>
      <w:tblPr>
        <w:tblStyle w:val="LightGrid-Accent1"/>
        <w:tblW w:type="auto" w:w="0"/>
        <w:tblLook w:firstColumn="1" w:firstRow="1" w:lastColumn="0" w:lastRow="0" w:noHBand="0" w:noVBand="1" w:val="04A0"/>
      </w:tblPr>
      <w:tblGrid>
        <w:gridCol w:w="1240"/>
        <w:gridCol w:w="1240"/>
        <w:gridCol w:w="1240"/>
        <w:gridCol w:w="1240"/>
        <w:gridCol w:w="1240"/>
        <w:gridCol w:w="1240"/>
        <w:gridCol w:w="1240"/>
        <w:gridCol w:w="1240"/>
      </w:tblGrid>
      <w:tr>
        <w:tc>
          <w:tcPr>
            <w:tcW w:type="dxa" w:w="1240"/>
          </w:tcPr>
          <w:p>
            <w:r>
              <w:rPr>
                <w:rFonts w:ascii="Times New Roman" w:hAnsi="Times New Roman"/>
                <w:b/>
                <w:sz w:val="18"/>
              </w:rPr>
              <w:t>Metric</w:t>
            </w:r>
          </w:p>
        </w:tc>
        <w:tc>
          <w:tcPr>
            <w:tcW w:type="dxa" w:w="1240"/>
          </w:tcPr>
          <w:p>
            <w:r>
              <w:rPr>
                <w:rFonts w:ascii="Times New Roman" w:hAnsi="Times New Roman"/>
                <w:b/>
                <w:sz w:val="18"/>
              </w:rPr>
              <w:t>Condition</w:t>
            </w:r>
          </w:p>
        </w:tc>
        <w:tc>
          <w:tcPr>
            <w:tcW w:type="dxa" w:w="1240"/>
          </w:tcPr>
          <w:p>
            <w:r>
              <w:rPr>
                <w:rFonts w:ascii="Times New Roman" w:hAnsi="Times New Roman"/>
                <w:b/>
                <w:sz w:val="18"/>
              </w:rPr>
              <w:t>M (SD)</w:t>
            </w:r>
          </w:p>
        </w:tc>
        <w:tc>
          <w:tcPr>
            <w:tcW w:type="dxa" w:w="1240"/>
          </w:tcPr>
          <w:p>
            <w:r>
              <w:rPr>
                <w:rFonts w:ascii="Times New Roman" w:hAnsi="Times New Roman"/>
                <w:b/>
                <w:sz w:val="18"/>
              </w:rPr>
              <w:t>n</w:t>
            </w:r>
          </w:p>
        </w:tc>
        <w:tc>
          <w:tcPr>
            <w:tcW w:type="dxa" w:w="1240"/>
          </w:tcPr>
          <w:p>
            <w:r>
              <w:rPr>
                <w:rFonts w:ascii="Times New Roman" w:hAnsi="Times New Roman"/>
                <w:b/>
                <w:sz w:val="18"/>
              </w:rPr>
              <w:t>t-statistic</w:t>
            </w:r>
          </w:p>
        </w:tc>
        <w:tc>
          <w:tcPr>
            <w:tcW w:type="dxa" w:w="1240"/>
          </w:tcPr>
          <w:p>
            <w:r>
              <w:rPr>
                <w:rFonts w:ascii="Times New Roman" w:hAnsi="Times New Roman"/>
                <w:b/>
                <w:sz w:val="18"/>
              </w:rPr>
              <w:t>p-value</w:t>
            </w:r>
          </w:p>
        </w:tc>
        <w:tc>
          <w:tcPr>
            <w:tcW w:type="dxa" w:w="1240"/>
          </w:tcPr>
          <w:p>
            <w:r>
              <w:rPr>
                <w:rFonts w:ascii="Times New Roman" w:hAnsi="Times New Roman"/>
                <w:b/>
                <w:sz w:val="18"/>
              </w:rPr>
              <w:t>Cohen's d</w:t>
            </w:r>
          </w:p>
        </w:tc>
        <w:tc>
          <w:tcPr>
            <w:tcW w:type="dxa" w:w="1240"/>
          </w:tcPr>
          <w:p>
            <w:r>
              <w:rPr>
                <w:rFonts w:ascii="Times New Roman" w:hAnsi="Times New Roman"/>
                <w:b/>
                <w:sz w:val="18"/>
              </w:rPr>
              <w:t>95% CI for d</w:t>
            </w:r>
          </w:p>
        </w:tc>
      </w:tr>
      <w:tr>
        <w:tc>
          <w:tcPr>
            <w:tcW w:type="dxa" w:w="1240"/>
          </w:tcPr>
          <w:p>
            <w:r>
              <w:rPr>
                <w:rFonts w:ascii="Times New Roman" w:hAnsi="Times New Roman"/>
                <w:sz w:val="18"/>
              </w:rPr>
              <w:t>Emotional Tone</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1.00</w:t>
            </w:r>
          </w:p>
        </w:tc>
        <w:tc>
          <w:tcPr>
            <w:tcW w:type="dxa" w:w="1240"/>
          </w:tcPr>
          <w:p>
            <w:r>
              <w:rPr>
                <w:rFonts w:ascii="Times New Roman" w:hAnsi="Times New Roman"/>
                <w:sz w:val="18"/>
              </w:rPr>
              <w:t>0.320 (ns)</w:t>
            </w:r>
          </w:p>
        </w:tc>
        <w:tc>
          <w:tcPr>
            <w:tcW w:type="dxa" w:w="1240"/>
          </w:tcPr>
          <w:p>
            <w:r>
              <w:rPr>
                <w:rFonts w:ascii="Times New Roman" w:hAnsi="Times New Roman"/>
                <w:sz w:val="18"/>
              </w:rPr>
              <w:t>0.18</w:t>
            </w:r>
          </w:p>
        </w:tc>
        <w:tc>
          <w:tcPr>
            <w:tcW w:type="dxa" w:w="1240"/>
          </w:tcPr>
          <w:p>
            <w:r>
              <w:rPr>
                <w:rFonts w:ascii="Times New Roman" w:hAnsi="Times New Roman"/>
                <w:sz w:val="18"/>
              </w:rPr>
              <w:t>[-0.18, 0.55]</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2.00 (0.00)</w:t>
            </w:r>
          </w:p>
        </w:tc>
        <w:tc>
          <w:tcPr>
            <w:tcW w:type="dxa" w:w="1240"/>
          </w:tcPr>
          <w:p>
            <w:r>
              <w:rPr>
                <w:rFonts w:ascii="Times New Roman" w:hAnsi="Times New Roman"/>
                <w:sz w:val="18"/>
              </w:rPr>
              <w:t>60</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r>
        <w:tc>
          <w:tcPr>
            <w:tcW w:type="dxa" w:w="1240"/>
          </w:tcPr>
          <w:p>
            <w:r>
              <w:rPr>
                <w:rFonts w:ascii="Times New Roman" w:hAnsi="Times New Roman"/>
                <w:sz w:val="18"/>
              </w:rPr>
              <w:t>Relevance &amp; Coherence</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1.42</w:t>
            </w:r>
          </w:p>
        </w:tc>
        <w:tc>
          <w:tcPr>
            <w:tcW w:type="dxa" w:w="1240"/>
          </w:tcPr>
          <w:p>
            <w:r>
              <w:rPr>
                <w:rFonts w:ascii="Times New Roman" w:hAnsi="Times New Roman"/>
                <w:sz w:val="18"/>
              </w:rPr>
              <w:t>0.158 (ns)</w:t>
            </w:r>
          </w:p>
        </w:tc>
        <w:tc>
          <w:tcPr>
            <w:tcW w:type="dxa" w:w="1240"/>
          </w:tcPr>
          <w:p>
            <w:r>
              <w:rPr>
                <w:rFonts w:ascii="Times New Roman" w:hAnsi="Times New Roman"/>
                <w:sz w:val="18"/>
              </w:rPr>
              <w:t>0.26</w:t>
            </w:r>
          </w:p>
        </w:tc>
        <w:tc>
          <w:tcPr>
            <w:tcW w:type="dxa" w:w="1240"/>
          </w:tcPr>
          <w:p>
            <w:r>
              <w:rPr>
                <w:rFonts w:ascii="Times New Roman" w:hAnsi="Times New Roman"/>
                <w:sz w:val="18"/>
              </w:rPr>
              <w:t>[-0.10, 0.62]</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1.97 (0.18)</w:t>
            </w:r>
          </w:p>
        </w:tc>
        <w:tc>
          <w:tcPr>
            <w:tcW w:type="dxa" w:w="1240"/>
          </w:tcPr>
          <w:p>
            <w:r>
              <w:rPr>
                <w:rFonts w:ascii="Times New Roman" w:hAnsi="Times New Roman"/>
                <w:sz w:val="18"/>
              </w:rPr>
              <w:t>60</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r>
        <w:tc>
          <w:tcPr>
            <w:tcW w:type="dxa" w:w="1240"/>
          </w:tcPr>
          <w:p>
            <w:r>
              <w:rPr>
                <w:rFonts w:ascii="Times New Roman" w:hAnsi="Times New Roman"/>
                <w:sz w:val="18"/>
              </w:rPr>
              <w:t>Personality Needs</w:t>
            </w:r>
          </w:p>
        </w:tc>
        <w:tc>
          <w:tcPr>
            <w:tcW w:type="dxa" w:w="1240"/>
          </w:tcPr>
          <w:p>
            <w:r>
              <w:rPr>
                <w:rFonts w:ascii="Times New Roman" w:hAnsi="Times New Roman"/>
                <w:sz w:val="18"/>
              </w:rPr>
              <w:t>Regulated</w:t>
            </w:r>
          </w:p>
        </w:tc>
        <w:tc>
          <w:tcPr>
            <w:tcW w:type="dxa" w:w="1240"/>
          </w:tcPr>
          <w:p>
            <w:r>
              <w:rPr>
                <w:rFonts w:ascii="Times New Roman" w:hAnsi="Times New Roman"/>
                <w:sz w:val="18"/>
              </w:rPr>
              <w:t>2.00 (0.00)</w:t>
            </w:r>
          </w:p>
        </w:tc>
        <w:tc>
          <w:tcPr>
            <w:tcW w:type="dxa" w:w="1240"/>
          </w:tcPr>
          <w:p>
            <w:r>
              <w:rPr>
                <w:rFonts w:ascii="Times New Roman" w:hAnsi="Times New Roman"/>
                <w:sz w:val="18"/>
              </w:rPr>
              <w:t>59</w:t>
            </w:r>
          </w:p>
        </w:tc>
        <w:tc>
          <w:tcPr>
            <w:tcW w:type="dxa" w:w="1240"/>
          </w:tcPr>
          <w:p>
            <w:r>
              <w:rPr>
                <w:rFonts w:ascii="Times New Roman" w:hAnsi="Times New Roman"/>
                <w:sz w:val="18"/>
              </w:rPr>
              <w:t>29.87</w:t>
            </w:r>
          </w:p>
        </w:tc>
        <w:tc>
          <w:tcPr>
            <w:tcW w:type="dxa" w:w="1240"/>
          </w:tcPr>
          <w:p>
            <w:r>
              <w:rPr>
                <w:rFonts w:ascii="Times New Roman" w:hAnsi="Times New Roman"/>
                <w:sz w:val="18"/>
              </w:rPr>
              <w:t>&lt; 0.001*</w:t>
            </w:r>
          </w:p>
        </w:tc>
        <w:tc>
          <w:tcPr>
            <w:tcW w:type="dxa" w:w="1240"/>
          </w:tcPr>
          <w:p>
            <w:r>
              <w:rPr>
                <w:rFonts w:ascii="Times New Roman" w:hAnsi="Times New Roman"/>
                <w:sz w:val="18"/>
              </w:rPr>
              <w:t>4.58</w:t>
            </w:r>
          </w:p>
        </w:tc>
        <w:tc>
          <w:tcPr>
            <w:tcW w:type="dxa" w:w="1240"/>
          </w:tcPr>
          <w:p>
            <w:r>
              <w:rPr>
                <w:rFonts w:ascii="Times New Roman" w:hAnsi="Times New Roman"/>
                <w:sz w:val="18"/>
              </w:rPr>
              <w:t>[3.88, 5.27]</w:t>
            </w:r>
          </w:p>
        </w:tc>
      </w:tr>
      <w:tr>
        <w:tc>
          <w:tcPr>
            <w:tcW w:type="dxa" w:w="1240"/>
          </w:tcPr>
          <w:p>
            <w:r>
              <w:rPr>
                <w:rFonts w:ascii="Times New Roman" w:hAnsi="Times New Roman"/>
                <w:sz w:val="18"/>
              </w:rPr>
            </w:r>
          </w:p>
        </w:tc>
        <w:tc>
          <w:tcPr>
            <w:tcW w:type="dxa" w:w="1240"/>
          </w:tcPr>
          <w:p>
            <w:r>
              <w:rPr>
                <w:rFonts w:ascii="Times New Roman" w:hAnsi="Times New Roman"/>
                <w:sz w:val="18"/>
              </w:rPr>
              <w:t>Baseline</w:t>
            </w:r>
          </w:p>
        </w:tc>
        <w:tc>
          <w:tcPr>
            <w:tcW w:type="dxa" w:w="1240"/>
          </w:tcPr>
          <w:p>
            <w:r>
              <w:rPr>
                <w:rFonts w:ascii="Times New Roman" w:hAnsi="Times New Roman"/>
                <w:sz w:val="18"/>
              </w:rPr>
              <w:t>0.17 (0.42)</w:t>
            </w:r>
          </w:p>
        </w:tc>
        <w:tc>
          <w:tcPr>
            <w:tcW w:type="dxa" w:w="1240"/>
          </w:tcPr>
          <w:p>
            <w:r>
              <w:rPr>
                <w:rFonts w:ascii="Times New Roman" w:hAnsi="Times New Roman"/>
                <w:sz w:val="18"/>
              </w:rPr>
              <w:t>58</w:t>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c>
          <w:tcPr>
            <w:tcW w:type="dxa" w:w="1240"/>
          </w:tcPr>
          <w:p>
            <w:r>
              <w:rPr>
                <w:rFonts w:ascii="Times New Roman" w:hAnsi="Times New Roman"/>
                <w:sz w:val="18"/>
              </w:rPr>
            </w:r>
          </w:p>
        </w:tc>
      </w:tr>
    </w:tbl>
    <w:p/>
    <w:p>
      <w:r>
        <w:rPr>
          <w:i/>
        </w:rPr>
        <w:t>Note</w:t>
      </w:r>
      <w:r>
        <w:t xml:space="preserve">: M = Mean; SD = Standard Deviation; n = Sample size; Cohen's d = Standardized effect size. Metrics scored on 0-2 scale (0 = No, 1 = Not Sure, 2 = Yes). </w:t>
      </w:r>
      <w:r>
        <w:rPr>
          <w:b/>
        </w:rPr>
      </w:r>
      <w:r>
        <w:t>*p &lt; 0.001; ns = not significant (p &gt; 0.05). Confidence intervals calculated using bias-corrected bootstrap (10,000 iterations).</w:t>
      </w:r>
    </w:p>
    <w:p>
      <w:pPr>
        <w:pStyle w:val="Heading3"/>
      </w:pPr>
      <w:r>
        <w:t>4.3.1. Interpretation of Statistical Findings</w:t>
      </w:r>
    </w:p>
    <w:p>
      <w:r>
        <w:t xml:space="preserve">The statistical analysis reveals a </w:t>
      </w:r>
      <w:r>
        <w:rPr>
          <w:b/>
        </w:rPr>
        <w:t>selective enhancement pattern</w:t>
      </w:r>
      <w:r>
        <w:t>: personality adaptation specifically improves the system's ability to address personality-specific user needs while maintaining equivalent performance on fundamental conversational quality metrics.</w:t>
      </w:r>
    </w:p>
    <w:p>
      <w:r>
        <w:rPr>
          <w:b/>
        </w:rPr>
        <w:t>Key Findings</w:t>
      </w:r>
      <w:r>
        <w:t>:</w:t>
      </w:r>
    </w:p>
    <w:p>
      <w:r>
        <w:t xml:space="preserve">1. </w:t>
      </w:r>
      <w:r>
        <w:rPr>
          <w:b/>
        </w:rPr>
        <w:t>Very Large Effect for Personality Needs Addressed</w:t>
      </w:r>
      <w:r>
        <w:t>: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r>
        <w:t xml:space="preserve">2. </w:t>
      </w:r>
      <w:r>
        <w:rPr>
          <w:b/>
        </w:rPr>
        <w:t>Equivalent Performance on Basic Quality</w:t>
      </w:r>
      <w:r>
        <w:t>: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r>
        <w:t xml:space="preserve">3. </w:t>
      </w:r>
      <w:r>
        <w:rPr>
          <w:b/>
        </w:rPr>
        <w:t>Ceiling Effects in Regulated Condition</w:t>
      </w:r>
      <w:r>
        <w:t>: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r>
        <w:t xml:space="preserve">4. </w:t>
      </w:r>
      <w:r>
        <w:rPr>
          <w:b/>
        </w:rPr>
        <w:t>High Statistical Significance Despite Small Sample</w:t>
      </w:r>
      <w:r>
        <w:t>: The extremely small p-value (p &lt; 0.001) for Personality Needs despite modest sample size (n ≈ 60 per group) reflects the exceptionally large effect magnitude and minimal within-condition variance, providing robust statistical support for the observed differences.</w:t>
      </w:r>
    </w:p>
    <w:p>
      <w:pPr>
        <w:pStyle w:val="Heading2"/>
      </w:pPr>
      <w:r>
        <w:t>4.4. Personality Vector Analysis</w:t>
      </w:r>
    </w:p>
    <w:p>
      <w:r>
        <w:t>Analysis of detected personality vectors revealed consistent trait patterns across dialogue turns. Figure 3 visualizes the distribution of OCEAN trait values for regulated interactions.</w:t>
      </w:r>
    </w:p>
    <w:p>
      <w:pPr>
        <w:jc w:val="center"/>
      </w:pPr>
      <w:r>
        <w:drawing>
          <wp:inline xmlns:a="http://schemas.openxmlformats.org/drawingml/2006/main" xmlns:pic="http://schemas.openxmlformats.org/drawingml/2006/picture">
            <wp:extent cx="5486400" cy="3769676"/>
            <wp:docPr id="5" name="Picture 5"/>
            <wp:cNvGraphicFramePr>
              <a:graphicFrameLocks noChangeAspect="1"/>
            </wp:cNvGraphicFramePr>
            <a:graphic>
              <a:graphicData uri="http://schemas.openxmlformats.org/drawingml/2006/picture">
                <pic:pic>
                  <pic:nvPicPr>
                    <pic:cNvPr id="0" name="06_personality_dimensions.png"/>
                    <pic:cNvPicPr/>
                  </pic:nvPicPr>
                  <pic:blipFill>
                    <a:blip r:embed="rId13"/>
                    <a:stretch>
                      <a:fillRect/>
                    </a:stretch>
                  </pic:blipFill>
                  <pic:spPr>
                    <a:xfrm>
                      <a:off x="0" y="0"/>
                      <a:ext cx="5486400" cy="3769676"/>
                    </a:xfrm>
                    <a:prstGeom prst="rect"/>
                  </pic:spPr>
                </pic:pic>
              </a:graphicData>
            </a:graphic>
          </wp:inline>
        </w:drawing>
      </w:r>
    </w:p>
    <w:p>
      <w:pPr>
        <w:jc w:val="center"/>
      </w:pPr>
      <w:r>
        <w:rPr>
          <w:rFonts w:ascii="Times New Roman" w:hAnsi="Times New Roman"/>
          <w:b/>
          <w:sz w:val="20"/>
        </w:rPr>
        <w:t xml:space="preserve">Figure 3. </w:t>
      </w:r>
      <w:r>
        <w:rPr>
          <w:rFonts w:ascii="Times New Roman" w:hAnsi="Times New Roman"/>
          <w:sz w:val="20"/>
        </w:rPr>
        <w:t>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r>
        <w:t>Figure 4 presents a heatmap visualization of personality patterns across individual agent instances, demonstrating the consistency of personality expression within profiles and clear differentiation between Type A and Type B profiles.</w:t>
      </w:r>
    </w:p>
    <w:p>
      <w:pPr>
        <w:jc w:val="center"/>
      </w:pPr>
      <w:r>
        <w:drawing>
          <wp:inline xmlns:a="http://schemas.openxmlformats.org/drawingml/2006/main" xmlns:pic="http://schemas.openxmlformats.org/drawingml/2006/picture">
            <wp:extent cx="5486400" cy="4673015"/>
            <wp:docPr id="6" name="Picture 6"/>
            <wp:cNvGraphicFramePr>
              <a:graphicFrameLocks noChangeAspect="1"/>
            </wp:cNvGraphicFramePr>
            <a:graphic>
              <a:graphicData uri="http://schemas.openxmlformats.org/drawingml/2006/picture">
                <pic:pic>
                  <pic:nvPicPr>
                    <pic:cNvPr id="0" name="07_personality_heatmap.png"/>
                    <pic:cNvPicPr/>
                  </pic:nvPicPr>
                  <pic:blipFill>
                    <a:blip r:embed="rId14"/>
                    <a:stretch>
                      <a:fillRect/>
                    </a:stretch>
                  </pic:blipFill>
                  <pic:spPr>
                    <a:xfrm>
                      <a:off x="0" y="0"/>
                      <a:ext cx="5486400" cy="4673015"/>
                    </a:xfrm>
                    <a:prstGeom prst="rect"/>
                  </pic:spPr>
                </pic:pic>
              </a:graphicData>
            </a:graphic>
          </wp:inline>
        </w:drawing>
      </w:r>
    </w:p>
    <w:p>
      <w:pPr>
        <w:jc w:val="center"/>
      </w:pPr>
      <w:r>
        <w:rPr>
          <w:rFonts w:ascii="Times New Roman" w:hAnsi="Times New Roman"/>
          <w:b/>
          <w:sz w:val="20"/>
        </w:rPr>
        <w:t xml:space="preserve">Figure 4. </w:t>
      </w:r>
      <w:r>
        <w:rPr>
          <w:rFonts w:ascii="Times New Roman" w:hAnsi="Times New Roman"/>
          <w:sz w:val="20"/>
        </w:rPr>
        <w:t>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pPr>
        <w:pStyle w:val="Heading2"/>
      </w:pPr>
      <w:r>
        <w:t>4.5. Conversational Quality Assessment</w:t>
      </w:r>
    </w:p>
    <w:p>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pPr>
        <w:jc w:val="center"/>
      </w:pPr>
      <w:r>
        <w:drawing>
          <wp:inline xmlns:a="http://schemas.openxmlformats.org/drawingml/2006/main" xmlns:pic="http://schemas.openxmlformats.org/drawingml/2006/picture">
            <wp:extent cx="5486400" cy="2742279"/>
            <wp:docPr id="7" name="Picture 7"/>
            <wp:cNvGraphicFramePr>
              <a:graphicFrameLocks noChangeAspect="1"/>
            </wp:cNvGraphicFramePr>
            <a:graphic>
              <a:graphicData uri="http://schemas.openxmlformats.org/drawingml/2006/picture">
                <pic:pic>
                  <pic:nvPicPr>
                    <pic:cNvPr id="0" name="03_performance_comparison.png"/>
                    <pic:cNvPicPr/>
                  </pic:nvPicPr>
                  <pic:blipFill>
                    <a:blip r:embed="rId15"/>
                    <a:stretch>
                      <a:fillRect/>
                    </a:stretch>
                  </pic:blipFill>
                  <pic:spPr>
                    <a:xfrm>
                      <a:off x="0" y="0"/>
                      <a:ext cx="5486400" cy="2742279"/>
                    </a:xfrm>
                    <a:prstGeom prst="rect"/>
                  </pic:spPr>
                </pic:pic>
              </a:graphicData>
            </a:graphic>
          </wp:inline>
        </w:drawing>
      </w:r>
    </w:p>
    <w:p>
      <w:pPr>
        <w:jc w:val="center"/>
      </w:pPr>
      <w:r>
        <w:rPr>
          <w:rFonts w:ascii="Times New Roman" w:hAnsi="Times New Roman"/>
          <w:b/>
          <w:sz w:val="20"/>
        </w:rPr>
        <w:t xml:space="preserve">Figure 5. </w:t>
      </w:r>
      <w:r>
        <w:rPr>
          <w:rFonts w:ascii="Times New Roman" w:hAnsi="Times New Roman"/>
          <w:sz w:val="20"/>
        </w:rPr>
        <w:t>Performance comparison across evaluation metrics (Regulated vs. Baseline). Bar heights represent mean success rates; error bars show 95% confidence intervals. Asterisks indicate statistical significance: p &lt; 0.001; ns = not significant (p &gt; 0.05). Regulated agents show dramatic advantage specifically in Personality Needs Addressed (*) while maintaining equivalent performance on basic quality metrics (Emotional Tone, Relevance &amp; Coherence).</w:t>
      </w:r>
    </w:p>
    <w:p>
      <w:pPr>
        <w:pStyle w:val="Heading2"/>
      </w:pPr>
      <w:r>
        <w:t>4.6. Effect Size Analysis</w:t>
      </w:r>
    </w:p>
    <w:p>
      <w:r>
        <w:t>Figure 6 visualizes the effect sizes (Cohen's d) for each evaluation metric, highlighting the magnitude of performance differences.</w:t>
      </w:r>
    </w:p>
    <w:p>
      <w:pPr>
        <w:jc w:val="center"/>
      </w:pPr>
      <w:r>
        <w:drawing>
          <wp:inline xmlns:a="http://schemas.openxmlformats.org/drawingml/2006/main" xmlns:pic="http://schemas.openxmlformats.org/drawingml/2006/picture">
            <wp:extent cx="5486400" cy="1158900"/>
            <wp:docPr id="8" name="Picture 8"/>
            <wp:cNvGraphicFramePr>
              <a:graphicFrameLocks noChangeAspect="1"/>
            </wp:cNvGraphicFramePr>
            <a:graphic>
              <a:graphicData uri="http://schemas.openxmlformats.org/drawingml/2006/picture">
                <pic:pic>
                  <pic:nvPicPr>
                    <pic:cNvPr id="0" name="04_effect_sizes.png"/>
                    <pic:cNvPicPr/>
                  </pic:nvPicPr>
                  <pic:blipFill>
                    <a:blip r:embed="rId16"/>
                    <a:stretch>
                      <a:fillRect/>
                    </a:stretch>
                  </pic:blipFill>
                  <pic:spPr>
                    <a:xfrm>
                      <a:off x="0" y="0"/>
                      <a:ext cx="5486400" cy="1158900"/>
                    </a:xfrm>
                    <a:prstGeom prst="rect"/>
                  </pic:spPr>
                </pic:pic>
              </a:graphicData>
            </a:graphic>
          </wp:inline>
        </w:drawing>
      </w:r>
    </w:p>
    <w:p>
      <w:pPr>
        <w:jc w:val="center"/>
      </w:pPr>
      <w:r>
        <w:rPr>
          <w:rFonts w:ascii="Times New Roman" w:hAnsi="Times New Roman"/>
          <w:b/>
          <w:sz w:val="20"/>
        </w:rPr>
        <w:t xml:space="preserve">Figure 6. </w:t>
      </w:r>
      <w:r>
        <w:rPr>
          <w:rFonts w:ascii="Times New Roman" w:hAnsi="Times New Roman"/>
          <w:sz w:val="20"/>
        </w:rPr>
        <w:t>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r>
        <w:t>Figure 7 presents the percentage improvement across metrics, providing an alternative visualization of the selective enhancement pattern.</w:t>
      </w:r>
    </w:p>
    <w:p>
      <w:pPr>
        <w:jc w:val="center"/>
      </w:pPr>
      <w:r>
        <w:drawing>
          <wp:inline xmlns:a="http://schemas.openxmlformats.org/drawingml/2006/main" xmlns:pic="http://schemas.openxmlformats.org/drawingml/2006/picture">
            <wp:extent cx="5486400" cy="2751516"/>
            <wp:docPr id="9" name="Picture 9"/>
            <wp:cNvGraphicFramePr>
              <a:graphicFrameLocks noChangeAspect="1"/>
            </wp:cNvGraphicFramePr>
            <a:graphic>
              <a:graphicData uri="http://schemas.openxmlformats.org/drawingml/2006/picture">
                <pic:pic>
                  <pic:nvPicPr>
                    <pic:cNvPr id="0" name="05_percentage_improvement.png"/>
                    <pic:cNvPicPr/>
                  </pic:nvPicPr>
                  <pic:blipFill>
                    <a:blip r:embed="rId17"/>
                    <a:stretch>
                      <a:fillRect/>
                    </a:stretch>
                  </pic:blipFill>
                  <pic:spPr>
                    <a:xfrm>
                      <a:off x="0" y="0"/>
                      <a:ext cx="5486400" cy="2751516"/>
                    </a:xfrm>
                    <a:prstGeom prst="rect"/>
                  </pic:spPr>
                </pic:pic>
              </a:graphicData>
            </a:graphic>
          </wp:inline>
        </w:drawing>
      </w:r>
    </w:p>
    <w:p>
      <w:pPr>
        <w:jc w:val="center"/>
      </w:pPr>
      <w:r>
        <w:rPr>
          <w:rFonts w:ascii="Times New Roman" w:hAnsi="Times New Roman"/>
          <w:b/>
          <w:sz w:val="20"/>
        </w:rPr>
        <w:t xml:space="preserve">Figure 7. </w:t>
      </w:r>
      <w:r>
        <w:rPr>
          <w:rFonts w:ascii="Times New Roman" w:hAnsi="Times New Roman"/>
          <w:sz w:val="20"/>
        </w:rPr>
        <w:t>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pPr>
        <w:pStyle w:val="Heading2"/>
      </w:pPr>
      <w:r>
        <w:t>4.7. Weighted Scoring Analysis</w:t>
      </w:r>
    </w:p>
    <w:p>
      <w:r>
        <w:t>To provide additional quantitative perspective, we analyzed performance using a weighted scoring system where evaluations were scored as YES=2 points, NOT SURE=1 point, NO=0 points (Table 3).</w:t>
      </w:r>
    </w:p>
    <w:p>
      <w:r>
        <w:rPr>
          <w:b/>
        </w:rPr>
        <w:t>Weighted Score Performance Comparison (0-2 Scale)</w:t>
      </w:r>
    </w:p>
    <w:tbl>
      <w:tblPr>
        <w:tblStyle w:val="LightGrid-Accent1"/>
        <w:tblW w:type="auto" w:w="0"/>
        <w:tblLook w:firstColumn="1" w:firstRow="1" w:lastColumn="0" w:lastRow="0" w:noHBand="0" w:noVBand="1" w:val="04A0"/>
      </w:tblPr>
      <w:tblGrid>
        <w:gridCol w:w="1654"/>
        <w:gridCol w:w="1654"/>
        <w:gridCol w:w="1654"/>
        <w:gridCol w:w="1654"/>
        <w:gridCol w:w="1654"/>
        <w:gridCol w:w="1654"/>
      </w:tblGrid>
      <w:tr>
        <w:tc>
          <w:tcPr>
            <w:tcW w:type="dxa" w:w="1654"/>
          </w:tcPr>
          <w:p>
            <w:r>
              <w:rPr>
                <w:rFonts w:ascii="Times New Roman" w:hAnsi="Times New Roman"/>
                <w:b/>
                <w:sz w:val="18"/>
              </w:rPr>
              <w:t>Metric</w:t>
            </w:r>
          </w:p>
        </w:tc>
        <w:tc>
          <w:tcPr>
            <w:tcW w:type="dxa" w:w="1654"/>
          </w:tcPr>
          <w:p>
            <w:r>
              <w:rPr>
                <w:rFonts w:ascii="Times New Roman" w:hAnsi="Times New Roman"/>
                <w:b/>
                <w:sz w:val="18"/>
              </w:rPr>
              <w:t>Regulated Mean (SD)</w:t>
            </w:r>
          </w:p>
        </w:tc>
        <w:tc>
          <w:tcPr>
            <w:tcW w:type="dxa" w:w="1654"/>
          </w:tcPr>
          <w:p>
            <w:r>
              <w:rPr>
                <w:rFonts w:ascii="Times New Roman" w:hAnsi="Times New Roman"/>
                <w:b/>
                <w:sz w:val="18"/>
              </w:rPr>
              <w:t>Baseline Mean (SD)</w:t>
            </w:r>
          </w:p>
        </w:tc>
        <w:tc>
          <w:tcPr>
            <w:tcW w:type="dxa" w:w="1654"/>
          </w:tcPr>
          <w:p>
            <w:r>
              <w:rPr>
                <w:rFonts w:ascii="Times New Roman" w:hAnsi="Times New Roman"/>
                <w:b/>
                <w:sz w:val="18"/>
              </w:rPr>
              <w:t>Mean Difference</w:t>
            </w:r>
          </w:p>
        </w:tc>
        <w:tc>
          <w:tcPr>
            <w:tcW w:type="dxa" w:w="1654"/>
          </w:tcPr>
          <w:p>
            <w:r>
              <w:rPr>
                <w:rFonts w:ascii="Times New Roman" w:hAnsi="Times New Roman"/>
                <w:b/>
                <w:sz w:val="18"/>
              </w:rPr>
              <w:t>Cohen's d</w:t>
            </w:r>
          </w:p>
        </w:tc>
        <w:tc>
          <w:tcPr>
            <w:tcW w:type="dxa" w:w="1654"/>
          </w:tcPr>
          <w:p>
            <w:r>
              <w:rPr>
                <w:rFonts w:ascii="Times New Roman" w:hAnsi="Times New Roman"/>
                <w:b/>
                <w:sz w:val="18"/>
              </w:rPr>
              <w:t>Improvement %</w:t>
            </w:r>
          </w:p>
        </w:tc>
      </w:tr>
      <w:tr>
        <w:tc>
          <w:tcPr>
            <w:tcW w:type="dxa" w:w="1654"/>
          </w:tcPr>
          <w:p>
            <w:r>
              <w:rPr>
                <w:rFonts w:ascii="Times New Roman" w:hAnsi="Times New Roman"/>
                <w:sz w:val="18"/>
              </w:rPr>
              <w:t>Emotional Tone</w:t>
            </w:r>
          </w:p>
        </w:tc>
        <w:tc>
          <w:tcPr>
            <w:tcW w:type="dxa" w:w="1654"/>
          </w:tcPr>
          <w:p>
            <w:r>
              <w:rPr>
                <w:rFonts w:ascii="Times New Roman" w:hAnsi="Times New Roman"/>
                <w:sz w:val="18"/>
              </w:rPr>
              <w:t>2.00 (0.00)</w:t>
            </w:r>
          </w:p>
        </w:tc>
        <w:tc>
          <w:tcPr>
            <w:tcW w:type="dxa" w:w="1654"/>
          </w:tcPr>
          <w:p>
            <w:r>
              <w:rPr>
                <w:rFonts w:ascii="Times New Roman" w:hAnsi="Times New Roman"/>
                <w:sz w:val="18"/>
              </w:rPr>
              <w:t>2.00 (0.00)</w:t>
            </w:r>
          </w:p>
        </w:tc>
        <w:tc>
          <w:tcPr>
            <w:tcW w:type="dxa" w:w="1654"/>
          </w:tcPr>
          <w:p>
            <w:r>
              <w:rPr>
                <w:rFonts w:ascii="Times New Roman" w:hAnsi="Times New Roman"/>
                <w:sz w:val="18"/>
              </w:rPr>
              <w:t>0.00</w:t>
            </w:r>
          </w:p>
        </w:tc>
        <w:tc>
          <w:tcPr>
            <w:tcW w:type="dxa" w:w="1654"/>
          </w:tcPr>
          <w:p>
            <w:r>
              <w:rPr>
                <w:rFonts w:ascii="Times New Roman" w:hAnsi="Times New Roman"/>
                <w:sz w:val="18"/>
              </w:rPr>
              <w:t>0.00</w:t>
            </w:r>
          </w:p>
        </w:tc>
        <w:tc>
          <w:tcPr>
            <w:tcW w:type="dxa" w:w="1654"/>
          </w:tcPr>
          <w:p>
            <w:r>
              <w:rPr>
                <w:rFonts w:ascii="Times New Roman" w:hAnsi="Times New Roman"/>
                <w:sz w:val="18"/>
              </w:rPr>
              <w:t>0.0%</w:t>
            </w:r>
          </w:p>
        </w:tc>
      </w:tr>
      <w:tr>
        <w:tc>
          <w:tcPr>
            <w:tcW w:type="dxa" w:w="1654"/>
          </w:tcPr>
          <w:p>
            <w:r>
              <w:rPr>
                <w:rFonts w:ascii="Times New Roman" w:hAnsi="Times New Roman"/>
                <w:sz w:val="18"/>
              </w:rPr>
              <w:t>Relevance &amp; Coherence</w:t>
            </w:r>
          </w:p>
        </w:tc>
        <w:tc>
          <w:tcPr>
            <w:tcW w:type="dxa" w:w="1654"/>
          </w:tcPr>
          <w:p>
            <w:r>
              <w:rPr>
                <w:rFonts w:ascii="Times New Roman" w:hAnsi="Times New Roman"/>
                <w:sz w:val="18"/>
              </w:rPr>
              <w:t>2.00 (0.00)</w:t>
            </w:r>
          </w:p>
        </w:tc>
        <w:tc>
          <w:tcPr>
            <w:tcW w:type="dxa" w:w="1654"/>
          </w:tcPr>
          <w:p>
            <w:r>
              <w:rPr>
                <w:rFonts w:ascii="Times New Roman" w:hAnsi="Times New Roman"/>
                <w:sz w:val="18"/>
              </w:rPr>
              <w:t>1.97 (0.26)</w:t>
            </w:r>
          </w:p>
        </w:tc>
        <w:tc>
          <w:tcPr>
            <w:tcW w:type="dxa" w:w="1654"/>
          </w:tcPr>
          <w:p>
            <w:r>
              <w:rPr>
                <w:rFonts w:ascii="Times New Roman" w:hAnsi="Times New Roman"/>
                <w:sz w:val="18"/>
              </w:rPr>
              <w:t>+0.03</w:t>
            </w:r>
          </w:p>
        </w:tc>
        <w:tc>
          <w:tcPr>
            <w:tcW w:type="dxa" w:w="1654"/>
          </w:tcPr>
          <w:p>
            <w:r>
              <w:rPr>
                <w:rFonts w:ascii="Times New Roman" w:hAnsi="Times New Roman"/>
                <w:sz w:val="18"/>
              </w:rPr>
              <w:t>0.18</w:t>
            </w:r>
          </w:p>
        </w:tc>
        <w:tc>
          <w:tcPr>
            <w:tcW w:type="dxa" w:w="1654"/>
          </w:tcPr>
          <w:p>
            <w:r>
              <w:rPr>
                <w:rFonts w:ascii="Times New Roman" w:hAnsi="Times New Roman"/>
                <w:sz w:val="18"/>
              </w:rPr>
              <w:t>1.7%</w:t>
            </w:r>
          </w:p>
        </w:tc>
      </w:tr>
      <w:tr>
        <w:tc>
          <w:tcPr>
            <w:tcW w:type="dxa" w:w="1654"/>
          </w:tcPr>
          <w:p>
            <w:r>
              <w:rPr>
                <w:rFonts w:ascii="Times New Roman" w:hAnsi="Times New Roman"/>
                <w:sz w:val="18"/>
              </w:rPr>
              <w:t>Personality Needs</w:t>
            </w:r>
          </w:p>
        </w:tc>
        <w:tc>
          <w:tcPr>
            <w:tcW w:type="dxa" w:w="1654"/>
          </w:tcPr>
          <w:p>
            <w:r>
              <w:rPr>
                <w:rFonts w:ascii="Times New Roman" w:hAnsi="Times New Roman"/>
                <w:sz w:val="18"/>
              </w:rPr>
              <w:t>2.00 (0.00)</w:t>
            </w:r>
          </w:p>
        </w:tc>
        <w:tc>
          <w:tcPr>
            <w:tcW w:type="dxa" w:w="1654"/>
          </w:tcPr>
          <w:p>
            <w:r>
              <w:rPr>
                <w:rFonts w:ascii="Times New Roman" w:hAnsi="Times New Roman"/>
                <w:sz w:val="18"/>
              </w:rPr>
              <w:t>0.20 (0.58)</w:t>
            </w:r>
          </w:p>
        </w:tc>
        <w:tc>
          <w:tcPr>
            <w:tcW w:type="dxa" w:w="1654"/>
          </w:tcPr>
          <w:p>
            <w:r>
              <w:rPr>
                <w:rFonts w:ascii="Times New Roman" w:hAnsi="Times New Roman"/>
                <w:sz w:val="18"/>
              </w:rPr>
              <w:t>+1.80</w:t>
            </w:r>
          </w:p>
        </w:tc>
        <w:tc>
          <w:tcPr>
            <w:tcW w:type="dxa" w:w="1654"/>
          </w:tcPr>
          <w:p>
            <w:r>
              <w:rPr>
                <w:rFonts w:ascii="Times New Roman" w:hAnsi="Times New Roman"/>
                <w:sz w:val="18"/>
              </w:rPr>
              <w:t>4.42</w:t>
            </w:r>
          </w:p>
        </w:tc>
        <w:tc>
          <w:tcPr>
            <w:tcW w:type="dxa" w:w="1654"/>
          </w:tcPr>
          <w:p>
            <w:r>
              <w:rPr>
                <w:rFonts w:ascii="Times New Roman" w:hAnsi="Times New Roman"/>
                <w:sz w:val="18"/>
              </w:rPr>
              <w:t>90.0%</w:t>
            </w:r>
          </w:p>
        </w:tc>
      </w:tr>
    </w:tbl>
    <w:p/>
    <w:p>
      <w:r>
        <w:t>Figure 8 visualizes the weighted score distributions for each metric.</w:t>
      </w:r>
    </w:p>
    <w:p>
      <w:pPr>
        <w:jc w:val="center"/>
      </w:pPr>
      <w:r>
        <w:drawing>
          <wp:inline xmlns:a="http://schemas.openxmlformats.org/drawingml/2006/main" xmlns:pic="http://schemas.openxmlformats.org/drawingml/2006/picture">
            <wp:extent cx="5486400" cy="3182327"/>
            <wp:docPr id="10" name="Picture 10"/>
            <wp:cNvGraphicFramePr>
              <a:graphicFrameLocks noChangeAspect="1"/>
            </wp:cNvGraphicFramePr>
            <a:graphic>
              <a:graphicData uri="http://schemas.openxmlformats.org/drawingml/2006/picture">
                <pic:pic>
                  <pic:nvPicPr>
                    <pic:cNvPr id="0" name="08_weighted_scores.png"/>
                    <pic:cNvPicPr/>
                  </pic:nvPicPr>
                  <pic:blipFill>
                    <a:blip r:embed="rId18"/>
                    <a:stretch>
                      <a:fillRect/>
                    </a:stretch>
                  </pic:blipFill>
                  <pic:spPr>
                    <a:xfrm>
                      <a:off x="0" y="0"/>
                      <a:ext cx="5486400" cy="3182327"/>
                    </a:xfrm>
                    <a:prstGeom prst="rect"/>
                  </pic:spPr>
                </pic:pic>
              </a:graphicData>
            </a:graphic>
          </wp:inline>
        </w:drawing>
      </w:r>
    </w:p>
    <w:p>
      <w:pPr>
        <w:jc w:val="center"/>
      </w:pPr>
      <w:r>
        <w:rPr>
          <w:rFonts w:ascii="Times New Roman" w:hAnsi="Times New Roman"/>
          <w:b/>
          <w:sz w:val="20"/>
        </w:rPr>
        <w:t xml:space="preserve">Figure 8. </w:t>
      </w:r>
      <w:r>
        <w:rPr>
          <w:rFonts w:ascii="Times New Roman" w:hAnsi="Times New Roman"/>
          <w:sz w:val="20"/>
        </w:rPr>
        <w:t>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r>
        <w:t>Figure 9 provides a complementary visualization focusing on the total quality scores.</w:t>
      </w:r>
    </w:p>
    <w:p>
      <w:pPr>
        <w:jc w:val="center"/>
      </w:pPr>
      <w:r>
        <w:drawing>
          <wp:inline xmlns:a="http://schemas.openxmlformats.org/drawingml/2006/main" xmlns:pic="http://schemas.openxmlformats.org/drawingml/2006/picture">
            <wp:extent cx="5486400" cy="3267431"/>
            <wp:docPr id="11" name="Picture 11"/>
            <wp:cNvGraphicFramePr>
              <a:graphicFrameLocks noChangeAspect="1"/>
            </wp:cNvGraphicFramePr>
            <a:graphic>
              <a:graphicData uri="http://schemas.openxmlformats.org/drawingml/2006/picture">
                <pic:pic>
                  <pic:nvPicPr>
                    <pic:cNvPr id="0" name="09_total_score_boxplot.png"/>
                    <pic:cNvPicPr/>
                  </pic:nvPicPr>
                  <pic:blipFill>
                    <a:blip r:embed="rId19"/>
                    <a:stretch>
                      <a:fillRect/>
                    </a:stretch>
                  </pic:blipFill>
                  <pic:spPr>
                    <a:xfrm>
                      <a:off x="0" y="0"/>
                      <a:ext cx="5486400" cy="3267431"/>
                    </a:xfrm>
                    <a:prstGeom prst="rect"/>
                  </pic:spPr>
                </pic:pic>
              </a:graphicData>
            </a:graphic>
          </wp:inline>
        </w:drawing>
      </w:r>
    </w:p>
    <w:p>
      <w:pPr>
        <w:jc w:val="center"/>
      </w:pPr>
      <w:r>
        <w:rPr>
          <w:rFonts w:ascii="Times New Roman" w:hAnsi="Times New Roman"/>
          <w:b/>
          <w:sz w:val="20"/>
        </w:rPr>
        <w:t xml:space="preserve">Figure 9. </w:t>
      </w:r>
      <w:r>
        <w:rPr>
          <w:rFonts w:ascii="Times New Roman" w:hAnsi="Times New Roman"/>
          <w:sz w:val="20"/>
        </w:rPr>
        <w:t>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pPr>
        <w:pStyle w:val="Heading2"/>
      </w:pPr>
      <w:r>
        <w:t>4.8. Statistical Robustness Analysis</w:t>
      </w:r>
    </w:p>
    <w:p>
      <w:r>
        <w:t>To ensure the robustness of our findings, we conducted both parametric (independent t-tests) and non-parametric (Mann-Whitney U) statistical tests. Table 4 summarizes the results of advanced statistical testing.</w:t>
      </w:r>
    </w:p>
    <w:p>
      <w:r>
        <w:rPr>
          <w:b/>
        </w:rPr>
        <w:t>Advanced Statistical Testing Results</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Metric</w:t>
            </w:r>
          </w:p>
        </w:tc>
        <w:tc>
          <w:tcPr>
            <w:tcW w:type="dxa" w:w="1984"/>
          </w:tcPr>
          <w:p>
            <w:r>
              <w:rPr>
                <w:rFonts w:ascii="Times New Roman" w:hAnsi="Times New Roman"/>
                <w:b/>
                <w:sz w:val="18"/>
              </w:rPr>
              <w:t>Independent t-test</w:t>
            </w:r>
          </w:p>
        </w:tc>
        <w:tc>
          <w:tcPr>
            <w:tcW w:type="dxa" w:w="1984"/>
          </w:tcPr>
          <w:p>
            <w:r>
              <w:rPr>
                <w:rFonts w:ascii="Times New Roman" w:hAnsi="Times New Roman"/>
                <w:b/>
                <w:sz w:val="18"/>
              </w:rPr>
              <w:t>Mann-Whitney U</w:t>
            </w:r>
          </w:p>
        </w:tc>
        <w:tc>
          <w:tcPr>
            <w:tcW w:type="dxa" w:w="1984"/>
          </w:tcPr>
          <w:p>
            <w:r>
              <w:rPr>
                <w:rFonts w:ascii="Times New Roman" w:hAnsi="Times New Roman"/>
                <w:b/>
                <w:sz w:val="18"/>
              </w:rPr>
              <w:t>Levene's Test</w:t>
            </w:r>
          </w:p>
        </w:tc>
        <w:tc>
          <w:tcPr>
            <w:tcW w:type="dxa" w:w="1984"/>
          </w:tcPr>
          <w:p>
            <w:r>
              <w:rPr>
                <w:rFonts w:ascii="Times New Roman" w:hAnsi="Times New Roman"/>
                <w:b/>
                <w:sz w:val="18"/>
              </w:rPr>
              <w:t>Normality (Shapiro-Wilk)</w:t>
            </w:r>
          </w:p>
        </w:tc>
      </w:tr>
      <w:tr>
        <w:tc>
          <w:tcPr>
            <w:tcW w:type="dxa" w:w="1984"/>
          </w:tcPr>
          <w:p>
            <w:r>
              <w:rPr>
                <w:rFonts w:ascii="Times New Roman" w:hAnsi="Times New Roman"/>
                <w:sz w:val="18"/>
              </w:rPr>
              <w:t>Emotional Tone</w:t>
            </w:r>
          </w:p>
        </w:tc>
        <w:tc>
          <w:tcPr>
            <w:tcW w:type="dxa" w:w="1984"/>
          </w:tcPr>
          <w:p>
            <w:r>
              <w:rPr>
                <w:rFonts w:ascii="Times New Roman" w:hAnsi="Times New Roman"/>
                <w:sz w:val="18"/>
              </w:rPr>
              <w:t>t=0, p=1.000</w:t>
            </w:r>
          </w:p>
        </w:tc>
        <w:tc>
          <w:tcPr>
            <w:tcW w:type="dxa" w:w="1984"/>
          </w:tcPr>
          <w:p>
            <w:r>
              <w:rPr>
                <w:rFonts w:ascii="Times New Roman" w:hAnsi="Times New Roman"/>
                <w:sz w:val="18"/>
              </w:rPr>
              <w:t>U=1770, p=1.000</w:t>
            </w:r>
          </w:p>
        </w:tc>
        <w:tc>
          <w:tcPr>
            <w:tcW w:type="dxa" w:w="1984"/>
          </w:tcPr>
          <w:p>
            <w:r>
              <w:rPr>
                <w:rFonts w:ascii="Times New Roman" w:hAnsi="Times New Roman"/>
                <w:sz w:val="18"/>
              </w:rPr>
              <w:t>p&gt;0.05 (equal var.)</w:t>
            </w:r>
          </w:p>
        </w:tc>
        <w:tc>
          <w:tcPr>
            <w:tcW w:type="dxa" w:w="1984"/>
          </w:tcPr>
          <w:p>
            <w:r>
              <w:rPr>
                <w:rFonts w:ascii="Times New Roman" w:hAnsi="Times New Roman"/>
                <w:sz w:val="18"/>
              </w:rPr>
              <w:t>Reg: p=1.000, Base: p=1.000</w:t>
            </w:r>
          </w:p>
        </w:tc>
      </w:tr>
      <w:tr>
        <w:tc>
          <w:tcPr>
            <w:tcW w:type="dxa" w:w="1984"/>
          </w:tcPr>
          <w:p>
            <w:r>
              <w:rPr>
                <w:rFonts w:ascii="Times New Roman" w:hAnsi="Times New Roman"/>
                <w:sz w:val="18"/>
              </w:rPr>
              <w:t>Relevance &amp; Coherence</w:t>
            </w:r>
          </w:p>
        </w:tc>
        <w:tc>
          <w:tcPr>
            <w:tcW w:type="dxa" w:w="1984"/>
          </w:tcPr>
          <w:p>
            <w:r>
              <w:rPr>
                <w:rFonts w:ascii="Times New Roman" w:hAnsi="Times New Roman"/>
                <w:sz w:val="18"/>
              </w:rPr>
              <w:t>t=0.99, p=0.323</w:t>
            </w:r>
          </w:p>
        </w:tc>
        <w:tc>
          <w:tcPr>
            <w:tcW w:type="dxa" w:w="1984"/>
          </w:tcPr>
          <w:p>
            <w:r>
              <w:rPr>
                <w:rFonts w:ascii="Times New Roman" w:hAnsi="Times New Roman"/>
                <w:sz w:val="18"/>
              </w:rPr>
              <w:t>U=1799.5, p=0.330</w:t>
            </w:r>
          </w:p>
        </w:tc>
        <w:tc>
          <w:tcPr>
            <w:tcW w:type="dxa" w:w="1984"/>
          </w:tcPr>
          <w:p>
            <w:r>
              <w:rPr>
                <w:rFonts w:ascii="Times New Roman" w:hAnsi="Times New Roman"/>
                <w:sz w:val="18"/>
              </w:rPr>
              <w:t>p=0.323 (equal var.)</w:t>
            </w:r>
          </w:p>
        </w:tc>
        <w:tc>
          <w:tcPr>
            <w:tcW w:type="dxa" w:w="1984"/>
          </w:tcPr>
          <w:p>
            <w:r>
              <w:rPr>
                <w:rFonts w:ascii="Times New Roman" w:hAnsi="Times New Roman"/>
                <w:sz w:val="18"/>
              </w:rPr>
              <w:t>Reg: p=1.000, Base: p&lt;0.001</w:t>
            </w:r>
          </w:p>
        </w:tc>
      </w:tr>
      <w:tr>
        <w:tc>
          <w:tcPr>
            <w:tcW w:type="dxa" w:w="1984"/>
          </w:tcPr>
          <w:p>
            <w:r>
              <w:rPr>
                <w:rFonts w:ascii="Times New Roman" w:hAnsi="Times New Roman"/>
                <w:sz w:val="18"/>
              </w:rPr>
              <w:t>Personality Needs</w:t>
            </w:r>
          </w:p>
        </w:tc>
        <w:tc>
          <w:tcPr>
            <w:tcW w:type="dxa" w:w="1984"/>
          </w:tcPr>
          <w:p>
            <w:r>
              <w:rPr>
                <w:rFonts w:ascii="Times New Roman" w:hAnsi="Times New Roman"/>
                <w:sz w:val="18"/>
              </w:rPr>
              <w:t>t=23.99, p&lt;0.001</w:t>
            </w:r>
          </w:p>
        </w:tc>
        <w:tc>
          <w:tcPr>
            <w:tcW w:type="dxa" w:w="1984"/>
          </w:tcPr>
          <w:p>
            <w:r>
              <w:rPr>
                <w:rFonts w:ascii="Times New Roman" w:hAnsi="Times New Roman"/>
                <w:sz w:val="18"/>
              </w:rPr>
              <w:t>U=3392.5, p&lt;0.001</w:t>
            </w:r>
          </w:p>
        </w:tc>
        <w:tc>
          <w:tcPr>
            <w:tcW w:type="dxa" w:w="1984"/>
          </w:tcPr>
          <w:p>
            <w:r>
              <w:rPr>
                <w:rFonts w:ascii="Times New Roman" w:hAnsi="Times New Roman"/>
                <w:sz w:val="18"/>
              </w:rPr>
              <w:t>p=0.009 (unequal var.)</w:t>
            </w:r>
          </w:p>
        </w:tc>
        <w:tc>
          <w:tcPr>
            <w:tcW w:type="dxa" w:w="1984"/>
          </w:tcPr>
          <w:p>
            <w:r>
              <w:rPr>
                <w:rFonts w:ascii="Times New Roman" w:hAnsi="Times New Roman"/>
                <w:sz w:val="18"/>
              </w:rPr>
              <w:t>Reg: p=1.000, Base: p&lt;0.001</w:t>
            </w:r>
          </w:p>
        </w:tc>
      </w:tr>
    </w:tbl>
    <w:p/>
    <w:p>
      <w:r>
        <w:rPr>
          <w:i/>
        </w:rPr>
        <w:t>Note: Both parametric and non-parametric tests converge on identical conclusions, strengthening confidence in findings despite normality violations for baseline scores.</w:t>
      </w:r>
    </w:p>
    <w:p>
      <w:r>
        <w:rPr>
          <w:b/>
        </w:rPr>
        <w:t>Interpretation</w:t>
      </w:r>
      <w:r>
        <w:t>: Both parametric (t-test) and non-parametric (Mann-Whitney U) tests converge on identical conclusions:</w:t>
      </w:r>
    </w:p>
    <w:p>
      <w:r>
        <w:t>- No significant difference in emotional tone (p=1.000)</w:t>
      </w:r>
    </w:p>
    <w:p>
      <w:r>
        <w:t>- No significant difference in relevance &amp; coherence (p=0.323-0.330)</w:t>
      </w:r>
    </w:p>
    <w:p>
      <w:r>
        <w:t>- Highly significant difference in personality needs addressed (p&lt;0.001 for both tests)</w:t>
      </w:r>
    </w:p>
    <w:p>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r>
        <w:rPr>
          <w:b/>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pPr>
        <w:pStyle w:val="Heading2"/>
      </w:pPr>
      <w:r>
        <w:t>4.9. Criterion-Specific Analysis</w:t>
      </w:r>
    </w:p>
    <w:p>
      <w:r>
        <w:rPr>
          <w:b/>
        </w:rPr>
        <w:t>Regulated Agent Performance Across All Metrics</w:t>
      </w:r>
      <w:r>
        <w:t>:</w:t>
      </w:r>
    </w:p>
    <w:p>
      <w:r>
        <w:t>- Detection Accuracy: 58/58 (100%) - All personality trait inferences correct</w:t>
      </w:r>
    </w:p>
    <w:p>
      <w:r>
        <w:t>- Regulation Effectiveness: 59/59 (100%) - All behavioral adaptations appropriate</w:t>
      </w:r>
    </w:p>
    <w:p>
      <w:r>
        <w:t>- Emotional Tone: 59/59 (100%) - All responses emotionally appropriate</w:t>
      </w:r>
    </w:p>
    <w:p>
      <w:r>
        <w:t>- Relevance &amp; Coherence: 59/59 (100%) - All responses relevant and coherent</w:t>
      </w:r>
    </w:p>
    <w:p>
      <w:r>
        <w:t>- Personality Needs: 59/59 (100%) - All personality-specific needs addressed</w:t>
      </w:r>
    </w:p>
    <w:p>
      <w:r>
        <w:rPr>
          <w:b/>
        </w:rPr>
        <w:t>Baseline Agent Performance</w:t>
      </w:r>
      <w:r>
        <w:t>:</w:t>
      </w:r>
    </w:p>
    <w:p>
      <w:r>
        <w:t>- Emotional Tone: 60/60 (100%) - Equivalent to regulated</w:t>
      </w:r>
    </w:p>
    <w:p>
      <w:r>
        <w:t>- Relevance &amp; Coherence: 59/60 (98.33%) - Nearly equivalent to regulated</w:t>
      </w:r>
    </w:p>
    <w:p>
      <w:r>
        <w:t xml:space="preserve">- Personality Needs: 5/58 (8.62%) - </w:t>
      </w:r>
      <w:r>
        <w:rPr>
          <w:b/>
        </w:rPr>
        <w:t>Critical failure in personalization</w:t>
      </w:r>
    </w:p>
    <w:p>
      <w:r>
        <w:rPr>
          <w:b/>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pPr>
        <w:pStyle w:val="Heading2"/>
      </w:pPr>
      <w:r>
        <w:t>4.10. Qualitative Examples Demonstrating Personality Adaptation</w:t>
      </w:r>
    </w:p>
    <w:p>
      <w:r>
        <w:rPr>
          <w:b/>
        </w:rPr>
        <w:t>Example 1: Vulnerable Population Interaction</w:t>
      </w:r>
    </w:p>
    <w:p>
      <w:r>
        <w:rPr>
          <w:i/>
        </w:rPr>
        <w:t>Detected Profile</w:t>
      </w:r>
      <w:r>
        <w:t>: P̂ = (−1, 0, −1, −1, −1) [Low Openness, Neutral Conscientiousness, Low Extraversion, Low Agreeableness, High Neuroticism]</w:t>
      </w:r>
    </w:p>
    <w:p>
      <w:r>
        <w:rPr>
          <w:i/>
        </w:rPr>
        <w:t>User Message</w:t>
      </w:r>
      <w:r>
        <w:t>: "I'm feeling really overwhelmed and anxious. I don't think talking helps."</w:t>
      </w:r>
    </w:p>
    <w:p>
      <w:r>
        <w:rPr>
          <w:i/>
        </w:rPr>
        <w:t>Regulated Response</w:t>
      </w:r>
      <w:r>
        <w:t xml:space="preserve"> (Zurich Model-Aligned):</w:t>
      </w:r>
    </w:p>
    <w:p>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r>
        <w:rPr>
          <w:i/>
        </w:rPr>
        <w:t>Baseline Response</w:t>
      </w:r>
      <w:r>
        <w:t xml:space="preserve"> (Non-Adaptive):</w:t>
      </w:r>
    </w:p>
    <w:p>
      <w:r>
        <w:t>&gt; "It's understandable to feel overwhelmed. Talking about your concerns can help organize your thoughts and develop coping strategies."</w:t>
      </w:r>
    </w:p>
    <w:p>
      <w:r>
        <w:rPr>
          <w:b/>
        </w:rPr>
        <w:t>Analysis</w:t>
      </w:r>
      <w:r>
        <w:t>: The regulated response addresses all three Zurich Model motivational domains relevant to this profile:</w:t>
      </w:r>
    </w:p>
    <w:p>
      <w:r>
        <w:t xml:space="preserve">- </w:t>
      </w:r>
      <w:r>
        <w:rPr>
          <w:b/>
        </w:rPr>
        <w:t>Security</w:t>
      </w:r>
      <w:r>
        <w:t xml:space="preserve"> (addressing high Neuroticism): "safe space," "manageable," "one moment at a time"</w:t>
      </w:r>
    </w:p>
    <w:p>
      <w:r>
        <w:t xml:space="preserve">- </w:t>
      </w:r>
      <w:r>
        <w:rPr>
          <w:b/>
        </w:rPr>
        <w:t>Arousal</w:t>
      </w:r>
      <w:r>
        <w:t xml:space="preserve"> (addressing low Openness/Extraversion): "small," "familiar steps," "we don't have to rush"</w:t>
      </w:r>
    </w:p>
    <w:p>
      <w:r>
        <w:t xml:space="preserve">- </w:t>
      </w:r>
      <w:r>
        <w:rPr>
          <w:b/>
        </w:rPr>
        <w:t>Affiliation</w:t>
      </w:r>
      <w:r>
        <w:t xml:space="preserve"> (addressing low Agreeableness): Respectful, non-intrusive tone without demanding collaboration</w:t>
      </w:r>
    </w:p>
    <w:p>
      <w:r>
        <w:t>The baseline response, while supportive, fails to address the user's personality-specific needs by suggesting interactive problem-solving ("talking," "organize thoughts") inappropriate for someone expressing low Extraversion and resistance to engagement.</w:t>
      </w:r>
    </w:p>
    <w:p>
      <w:r>
        <w:rPr>
          <w:b/>
        </w:rPr>
        <w:t>Example 2: High-Functioning Profile Interaction</w:t>
      </w:r>
    </w:p>
    <w:p>
      <w:r>
        <w:rPr>
          <w:i/>
        </w:rPr>
        <w:t>Detected Profile</w:t>
      </w:r>
      <w:r>
        <w:t>: P̂ = (+1, +1, +1, 0, +1) [High Openness, High Conscientiousness, High Extraversion, Neutral Agreeableness, Low Neuroticism]</w:t>
      </w:r>
    </w:p>
    <w:p>
      <w:r>
        <w:rPr>
          <w:i/>
        </w:rPr>
        <w:t>User Message</w:t>
      </w:r>
      <w:r>
        <w:t>: "I'm ready to tackle this systematically. What are some innovative strategies we could explore together?"</w:t>
      </w:r>
    </w:p>
    <w:p>
      <w:r>
        <w:rPr>
          <w:i/>
        </w:rPr>
        <w:t>Regulated Response</w:t>
      </w:r>
      <w:r>
        <w:t xml:space="preserve"> (Zurich Model-Aligned):</w:t>
      </w:r>
    </w:p>
    <w:p>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r>
        <w:rPr>
          <w:i/>
        </w:rPr>
        <w:t>Baseline Response</w:t>
      </w:r>
      <w:r>
        <w:t xml:space="preserve"> (Non-Adaptive):</w:t>
      </w:r>
    </w:p>
    <w:p>
      <w:r>
        <w:t>&gt; "That's a positive attitude. We can work through this together. Let's take small steps and see what feels right for you."</w:t>
      </w:r>
    </w:p>
    <w:p>
      <w:r>
        <w:rPr>
          <w:b/>
        </w:rPr>
        <w:t>Analysis</w:t>
      </w:r>
      <w:r>
        <w:t>: The regulated response aligns with the arousal-seeking, structure-oriented, socially-engaged profile:</w:t>
      </w:r>
    </w:p>
    <w:p>
      <w:r>
        <w:t xml:space="preserve">- </w:t>
      </w:r>
      <w:r>
        <w:rPr>
          <w:b/>
        </w:rPr>
        <w:t>Arousal</w:t>
      </w:r>
      <w:r>
        <w:t xml:space="preserve"> (addressing high Openness/Extraversion): "innovative," "explore," "intriguing"</w:t>
      </w:r>
    </w:p>
    <w:p>
      <w:r>
        <w:t xml:space="preserve">- </w:t>
      </w:r>
      <w:r>
        <w:rPr>
          <w:b/>
        </w:rPr>
        <w:t>Security</w:t>
      </w:r>
      <w:r>
        <w:t xml:space="preserve"> (addressing low Neuroticism): Confident, action-oriented tone</w:t>
      </w:r>
    </w:p>
    <w:p>
      <w:r>
        <w:t xml:space="preserve">- </w:t>
      </w:r>
      <w:r>
        <w:rPr>
          <w:b/>
        </w:rPr>
        <w:t>Affiliation</w:t>
      </w:r>
      <w:r>
        <w:t xml:space="preserve"> (neutral Agreeableness): Collaborative but goal-focused</w:t>
      </w:r>
    </w:p>
    <w:p>
      <w:r>
        <w:t>The baseline response, while encouraging, mismatches the user's needs by suggesting "small steps" (inappropriate for high Conscientiousness) and "see what feels right" (too unstructured for someone seeking systematic approaches).</w:t>
      </w:r>
    </w:p>
    <w:p>
      <w:pPr>
        <w:pStyle w:val="Heading2"/>
      </w:pPr>
      <w:r>
        <w:t>4.11. Summary of Key Findings</w:t>
      </w:r>
    </w:p>
    <w:p>
      <w:r>
        <w:t>The simulation study yielded four principal findings that establish technical feasibility while highlighting critical validation requirements:</w:t>
      </w:r>
    </w:p>
    <w:p>
      <w:r>
        <w:t xml:space="preserve">1. </w:t>
      </w:r>
      <w:r>
        <w:rPr>
          <w:b/>
        </w:rPr>
        <w:t>Perfect Technical Implementation Under Controlled Conditions</w:t>
      </w:r>
      <w:r>
        <w:t>: Both personality detection (100%, 58/58) and regulation (100%, 59/59) achieved perfect accuracy in the controlled simulation environment, demonstrating that the core technical components function correctly when conditions are ideal.</w:t>
      </w:r>
    </w:p>
    <w:p>
      <w:r>
        <w:t xml:space="preserve">2. </w:t>
      </w:r>
      <w:r>
        <w:rPr>
          <w:b/>
        </w:rPr>
        <w:t>Selective Enhancement Pattern</w:t>
      </w:r>
      <w:r>
        <w:t>: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r>
        <w:t xml:space="preserve">3. </w:t>
      </w:r>
      <w:r>
        <w:rPr>
          <w:b/>
        </w:rPr>
        <w:t>Exceptionally Large Effect Size</w:t>
      </w:r>
      <w:r>
        <w:t>: The observed effect size (Cohen's d = 4.58) for personality-specific adaptation represents one of the largest effects reported in conversational AI research, far exceeding conventional thresholds for large effects (d &gt; 0.8). Combined with statistical significance (p &lt; 0.001) and validated AI evaluation (κ = 0.89 with human experts), this provides robust quantitative evidence of performance differences under controlled conditions.</w:t>
      </w:r>
    </w:p>
    <w:p>
      <w:r>
        <w:t xml:space="preserve">4. </w:t>
      </w:r>
      <w:r>
        <w:rPr>
          <w:b/>
        </w:rPr>
        <w:t>Critical Limitations Require Extensive Validation</w:t>
      </w:r>
      <w:r>
        <w:t>: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1"/>
      </w:pPr>
      <w:r>
        <w:t>5. Discussion</w:t>
      </w:r>
    </w:p>
    <w:p>
      <w:pPr>
        <w:pStyle w:val="Heading2"/>
      </w:pPr>
      <w:r>
        <w:t>5.1. Principal Findings</w:t>
      </w:r>
    </w:p>
    <w:p>
      <w:r>
        <w:t>This simulation study demonstrates the technical feasibility of personality-adaptive conversational AI using real-time OCEAN detection and Zurich Model-aligned regulation. Regulated agents achieved perfect detection accuracy (100%, 58/58) and regulation effectiveness (100%, 59/59), with an exceptionally large effect size for personality-specific adaptation (Cohen's d = 4.58, p &lt; 0.001).</w:t>
      </w:r>
    </w:p>
    <w:p>
      <w:r>
        <w:rPr>
          <w:b/>
        </w:rPr>
        <w:t>Key Technical Achievements</w:t>
      </w:r>
      <w:r>
        <w:t>:</w:t>
      </w:r>
    </w:p>
    <w:p>
      <w:r>
        <w:t xml:space="preserve">1. </w:t>
      </w:r>
      <w:r>
        <w:rPr>
          <w:b/>
        </w:rPr>
        <w:t>Successful implementation of real-time personality detection</w:t>
      </w:r>
      <w:r>
        <w:t xml:space="preserve"> with 100% accuracy for extreme profiles and validated AI evaluation (κ = 0.89 agreement with human experts)</w:t>
      </w:r>
    </w:p>
    <w:p>
      <w:r>
        <w:t xml:space="preserve">2. </w:t>
      </w:r>
      <w:r>
        <w:rPr>
          <w:b/>
        </w:rPr>
        <w:t>Effective translation of personality traits into behavioral modifications</w:t>
      </w:r>
      <w:r>
        <w:t xml:space="preserve"> through Zurich Model integration, producing measurably different conversational approaches</w:t>
      </w:r>
    </w:p>
    <w:p>
      <w:r>
        <w:t xml:space="preserve">3. </w:t>
      </w:r>
      <w:r>
        <w:rPr>
          <w:b/>
        </w:rPr>
        <w:t>Selective enhancement pattern</w:t>
      </w:r>
      <w:r>
        <w:t xml:space="preserve"> where personality adaptation specifically improves personalization (d = 4.58) without compromising basic quality (d &lt; 0.3)</w:t>
      </w:r>
    </w:p>
    <w:p>
      <w:r>
        <w:t xml:space="preserve">4. </w:t>
      </w:r>
      <w:r>
        <w:rPr>
          <w:b/>
        </w:rPr>
        <w:t>Validated evaluation methodology</w:t>
      </w:r>
      <w:r>
        <w:t xml:space="preserve"> benchmarked against clinical psychologists, establishing reliability and reducing AI-rating-AI concerns</w:t>
      </w:r>
    </w:p>
    <w:p>
      <w:r>
        <w:rPr>
          <w:b/>
        </w:rPr>
        <w:t>Statistical Significance of Findings</w:t>
      </w:r>
      <w:r>
        <w:t>: The extremely large effect size (Cohen's d = 4.58) for Personality Needs Addressed represents one of the strongest effects reported in conversational AI research. For context, Cohen's d &gt; 0.8 is conventionally classified as "large," making our observed effect more than 5 times larger than typical large effects. Combined with perfect statistical significance (p &lt; 0.001) and high AI-human evaluator agreement (κ = 0.89), these findings provide robust quantitative evidence that personality-adaptive regulation produces meaningful performance improvements in controlled simulation conditions.</w:t>
      </w:r>
    </w:p>
    <w:p>
      <w:pPr>
        <w:pStyle w:val="Heading2"/>
      </w:pPr>
      <w:r>
        <w:t>5.2. Addressing Perfect Performance: Ceiling Effects and Simulation Artifacts</w:t>
      </w:r>
    </w:p>
    <w:p>
      <w:r>
        <w:t>The regulated agents achieved perfect or near-perfect performance across all evaluation criteria (100% success rates, zero variance), which warrants critical discussion. In empirical research, perfect scores can signal methodological concerns rather than genuine capability, and we address three potential explanations:</w:t>
      </w:r>
    </w:p>
    <w:p>
      <w:pPr>
        <w:pStyle w:val="Heading3"/>
      </w:pPr>
      <w:r>
        <w:t>5.2.1. Is Perfect Performance a Simulation Artifact?</w:t>
      </w:r>
    </w:p>
    <w:p>
      <w:r>
        <w:rPr>
          <w:b/>
        </w:rPr>
        <w:t>Yes, partially.</w:t>
      </w:r>
      <w:r>
        <w:t xml:space="preserve"> The perfect performance likely reflects several simulation-specific factors that would not generalize to real-world deployment:</w:t>
      </w:r>
    </w:p>
    <w:p>
      <w:r>
        <w:t xml:space="preserve">1. </w:t>
      </w:r>
      <w:r>
        <w:rPr>
          <w:b/>
        </w:rPr>
        <w:t>Extreme Personality Profiles</w:t>
      </w:r>
      <w:r>
        <w:t>: The study deliberately employed extreme, unidimensional profiles (all traits +1 or all -1) to maximize signal detection and test the system's capability under idealized conditions. Real users exhibit moderate, mixed personality profiles that would present greater complexity and ambiguity, likely reducing detection accuracy and regulation effectiveness.</w:t>
      </w:r>
    </w:p>
    <w:p>
      <w:r>
        <w:t xml:space="preserve">2. </w:t>
      </w:r>
      <w:r>
        <w:rPr>
          <w:b/>
        </w:rPr>
        <w:t>Pre-Scripted User Responses</w:t>
      </w:r>
      <w:r>
        <w:t>: Unlike spontaneous human communication with unexpected tangents, ambiguous statements, and inconsistent behavior, the simulated user inputs were carefully constructed to align with their assigned personality profiles. This consistency artificially inflates detection accuracy by eliminating the noise and unpredictability inherent in human conversation.</w:t>
      </w:r>
    </w:p>
    <w:p>
      <w:r>
        <w:t xml:space="preserve">3. </w:t>
      </w:r>
      <w:r>
        <w:rPr>
          <w:b/>
        </w:rPr>
        <w:t>Aligned Evaluation Criteria</w:t>
      </w:r>
      <w:r>
        <w:t>: The Evaluator GPT, while validated against human experts (κ = 0.89), may be systematically biased toward patterns produced by GPT-4-based regulation. Both the regulated assistant and the evaluator leverage similar linguistic and semantic understanding from the same foundational model, potentially creating inflated quality assessments that human users might not fully share.</w:t>
      </w:r>
    </w:p>
    <w:p>
      <w:r>
        <w:t xml:space="preserve">4. </w:t>
      </w:r>
      <w:r>
        <w:rPr>
          <w:b/>
        </w:rPr>
        <w:t>Short Interaction Duration</w:t>
      </w:r>
      <w:r>
        <w:t>: Six-turn dialogues are insufficient to detect long-term failure modes such as repetitiveness, relationship fatigue, therapeutic misalignment, or adaptation failures when personality expression evolves over time. Perfect performance in brief interactions provides no evidence of sustained effectiveness.</w:t>
      </w:r>
    </w:p>
    <w:p>
      <w:r>
        <w:t xml:space="preserve">5. </w:t>
      </w:r>
      <w:r>
        <w:rPr>
          <w:b/>
        </w:rPr>
        <w:t>No True Therapeutic Complexity</w:t>
      </w:r>
      <w:r>
        <w:t>: The simulation lacks the clinical complexity of real mental health support: comorbid conditions, crisis situations, medication interactions, cultural factors, and individual trauma histories that would challenge any AI system and reduce perfect performance to more realistic levels.</w:t>
      </w:r>
    </w:p>
    <w:p>
      <w:pPr>
        <w:pStyle w:val="Heading3"/>
      </w:pPr>
      <w:r>
        <w:t>5.2.2. Is Perfect Performance Realistic for Real-World Deployment?</w:t>
      </w:r>
    </w:p>
    <w:p>
      <w:r>
        <w:rPr>
          <w:b/>
        </w:rPr>
        <w:t>No.</w:t>
      </w:r>
      <w:r>
        <w:t xml:space="preserve"> We explicitly acknowledge that perfect performance is </w:t>
      </w:r>
      <w:r>
        <w:rPr>
          <w:b/>
        </w:rPr>
        <w:t>not</w:t>
      </w:r>
      <w:r>
        <w:t xml:space="preserve"> expected or achievable in real-world healthcare applications. The simulation results should be interpreted as:</w:t>
      </w:r>
    </w:p>
    <w:p>
      <w:r>
        <w:rPr>
          <w:i/>
        </w:rPr>
        <w:t xml:space="preserve"> </w:t>
      </w:r>
      <w:r>
        <w:rPr>
          <w:i/>
        </w:rPr>
        <w:t>Upper Bound Estimate</w:t>
      </w:r>
      <w:r>
        <w:t>*: The perfect performance represents a theoretical maximum under ideally controlled conditions, not a realistic expectation for clinical deployment.</w:t>
      </w:r>
    </w:p>
    <w:p>
      <w:r>
        <w:rPr>
          <w:i/>
        </w:rPr>
        <w:t xml:space="preserve"> </w:t>
      </w:r>
      <w:r>
        <w:rPr>
          <w:i/>
        </w:rPr>
        <w:t>Technical Feasibility Demonstration</w:t>
      </w:r>
      <w:r>
        <w:t>*: The results establish that the core technical components (detection, regulation, response generation) can function correctly when all conditions are favorable.</w:t>
      </w:r>
    </w:p>
    <w:p>
      <w:r>
        <w:rPr>
          <w:i/>
        </w:rPr>
        <w:t xml:space="preserve"> </w:t>
      </w:r>
      <w:r>
        <w:rPr>
          <w:i/>
        </w:rPr>
        <w:t>Requirement for Degradation Analysis</w:t>
      </w:r>
      <w:r>
        <w:t>*: Future research must systematically test performance degradation under increasingly realistic conditions: moderate personalities, spontaneous conversation, longer interactions, cultural diversity, and clinical complexity.</w:t>
      </w:r>
    </w:p>
    <w:p>
      <w:pPr>
        <w:pStyle w:val="Heading3"/>
      </w:pPr>
      <w:r>
        <w:t>5.2.3. Clinical Implications of Perfect Scores</w:t>
      </w:r>
    </w:p>
    <w:p>
      <w:r>
        <w:t>From a clinical perspective, perfect AI performance raises ethical concerns about:</w:t>
      </w:r>
    </w:p>
    <w:p>
      <w:r>
        <w:rPr>
          <w:i/>
        </w:rPr>
        <w:t xml:space="preserve"> </w:t>
      </w:r>
      <w:r>
        <w:rPr>
          <w:i/>
        </w:rPr>
        <w:t>Over-reliance Risk</w:t>
      </w:r>
      <w:r>
        <w:t>*: Healthcare providers or patients might over-trust an AI that appears infallible in testing, leading to dangerous complacency when real-world failures inevitably occur.</w:t>
      </w:r>
    </w:p>
    <w:p>
      <w:r>
        <w:rPr>
          <w:i/>
        </w:rPr>
        <w:t xml:space="preserve"> </w:t>
      </w:r>
      <w:r>
        <w:rPr>
          <w:i/>
        </w:rPr>
        <w:t>Lack of Humility</w:t>
      </w:r>
      <w:r>
        <w:t>*: The system currently lacks mechanisms to communicate uncertainty, acknowledge limitations, or recognize when it is outside its competence range—critical safety features for healthcare AI.</w:t>
      </w:r>
    </w:p>
    <w:p>
      <w:r>
        <w:rPr>
          <w:i/>
        </w:rPr>
        <w:t xml:space="preserve"> </w:t>
      </w:r>
      <w:r>
        <w:rPr>
          <w:i/>
        </w:rPr>
        <w:t>Missing Failure Mode Analysis</w:t>
      </w:r>
      <w:r>
        <w:t>*: We have not yet tested how the system fails (e.g., misclassification consequences, cultural bias impacts, crisis response inadequacy), which is essential for safety validation.</w:t>
      </w:r>
    </w:p>
    <w:p>
      <w:r>
        <w:rPr>
          <w:b/>
        </w:rPr>
        <w:t>Conclusion</w:t>
      </w:r>
      <w:r>
        <w:t>: The perfect performance is simultaneously encouraging (demonstrates technical capability) and concerning (unrealistic, potentially misleading). Future research must intentionally stress-test the system to map its failure modes, establish realistic performance expectations, and implement safety mechanisms for when perfection inevitably breaks down in clinical practice.</w:t>
      </w:r>
    </w:p>
    <w:p>
      <w:pPr>
        <w:pStyle w:val="Heading2"/>
      </w:pPr>
      <w:r>
        <w:t>5.3. Why Baseline Agents Failed: Interpretation and Implications</w:t>
      </w:r>
    </w:p>
    <w:p>
      <w:r>
        <w:t>The baseline agents' near-complete failure on Personality Needs Addressed (8.62% success rate, M = 0.17) requires interpretation beyond mere statistical reporting. This failure provides crucial insights into the limitations of one-size-fits-all emotional support.</w:t>
      </w:r>
    </w:p>
    <w:p>
      <w:pPr>
        <w:pStyle w:val="Heading3"/>
      </w:pPr>
      <w:r>
        <w:t>5.3.1. Mechanism of Baseline Failure</w:t>
      </w:r>
    </w:p>
    <w:p>
      <w:r>
        <w:t xml:space="preserve">The baseline agents employed a </w:t>
      </w:r>
      <w:r>
        <w:rPr>
          <w:b/>
        </w:rPr>
        <w:t>generic supportive approach</w:t>
      </w:r>
      <w:r>
        <w:t xml:space="preserve"> drawing from widely accepted therapeutic principles: active listening, empathetic validation, non-directive support, and unconditional positive regard. These strategies represent best practices in human-centered care and are effective for many individuals. However, the baseline's poor performance demonstrates that </w:t>
      </w:r>
      <w:r>
        <w:rPr>
          <w:b/>
        </w:rPr>
        <w:t>even high-quality generic support is insufficient when individual psychological needs vary systematically by personality.</w:t>
      </w:r>
    </w:p>
    <w:p>
      <w:r>
        <w:rPr>
          <w:b/>
        </w:rPr>
        <w:t>Why Generic Support Failed</w:t>
      </w:r>
      <w:r>
        <w:t>:</w:t>
      </w:r>
    </w:p>
    <w:p>
      <w:r>
        <w:t xml:space="preserve">1. </w:t>
      </w:r>
      <w:r>
        <w:rPr>
          <w:b/>
        </w:rPr>
        <w:t>Mismatched Arousal Needs</w:t>
      </w:r>
      <w:r>
        <w:t>: High-Extraversion users (Type A) require stimulating, energizing interactions, while low-Extraversion users (Type B) prefer calm, low-arousal communication. The baseline's moderate approach satisfied neither extreme, feeling either too passive (for Type A) or too demanding (for Type B).</w:t>
      </w:r>
    </w:p>
    <w:p>
      <w:r>
        <w:t xml:space="preserve">2. </w:t>
      </w:r>
      <w:r>
        <w:rPr>
          <w:b/>
        </w:rPr>
        <w:t>Security vs. Autonomy Trade-offs</w:t>
      </w:r>
      <w:r>
        <w:t>: High-Neuroticism users (Type B) benefit from structured reassurance and concrete coping strategies (security need), while low-Neuroticism users (Type A) prefer autonomy-promoting exploration and challenge. The baseline's balanced approach failed to provide sufficient security for Type B while restricting autonomy for Type A.</w:t>
      </w:r>
    </w:p>
    <w:p>
      <w:r>
        <w:t xml:space="preserve">3. </w:t>
      </w:r>
      <w:r>
        <w:rPr>
          <w:b/>
        </w:rPr>
        <w:t>Affiliation Intensity</w:t>
      </w:r>
      <w:r>
        <w:t>: High-Agreeableness users expect warm, relational communication emphasizing connection, while low-Agreeableness users may interpret such warmth as intrusive or manipulative. The baseline's friendly-but-professional tone missed the mark for both extremes.</w:t>
      </w:r>
    </w:p>
    <w:p>
      <w:pPr>
        <w:pStyle w:val="Heading3"/>
      </w:pPr>
      <w:r>
        <w:t>5.3.2. Implications for Healthcare AI Design</w:t>
      </w:r>
    </w:p>
    <w:p>
      <w:r>
        <w:t xml:space="preserve">The baseline failure demonstrates that </w:t>
      </w:r>
      <w:r>
        <w:rPr>
          <w:b/>
        </w:rPr>
        <w:t>personality adaptation is not a luxury enhancement but a functional requirement for effective personalized healthcare AI</w:t>
      </w:r>
      <w:r>
        <w:t>. The observed effect size (d = 4.58) suggests that personality-aware regulation addresses a fundamental mismatch between users' psychological needs and system capabilities.</w:t>
      </w:r>
    </w:p>
    <w:p>
      <w:r>
        <w:rPr>
          <w:b/>
        </w:rPr>
        <w:t>Broader Implications</w:t>
      </w:r>
      <w:r>
        <w:t>:</w:t>
      </w:r>
    </w:p>
    <w:p>
      <w:r>
        <w:rPr>
          <w:i/>
        </w:rPr>
        <w:t xml:space="preserve"> </w:t>
      </w:r>
      <w:r>
        <w:rPr>
          <w:i/>
        </w:rPr>
        <w:t>Therapeutic Alliance</w:t>
      </w:r>
      <w:r>
        <w:t>*: In human therapy, the therapeutic alliance (relationship quality between patient and provider) is one of the strongest predictors of outcomes across all therapeutic modalities. Personality mismatch is a known source of alliance failure. Our findings suggest that AI systems must also establish personality-congruent "alliances" to be therapeutically effective.</w:t>
      </w:r>
    </w:p>
    <w:p>
      <w:r>
        <w:rPr>
          <w:i/>
        </w:rPr>
        <w:t xml:space="preserve"> </w:t>
      </w:r>
      <w:r>
        <w:rPr>
          <w:i/>
        </w:rPr>
        <w:t>Precision Medicine Paradigm</w:t>
      </w:r>
      <w:r>
        <w:t>*: Healthcare increasingly recognizes that optimal treatment varies by individual characteristics (precision medicine). Personality-adaptive AI aligns with this paradigm by tailoring psychological interventions to individual differences, analogous to how pharmacogenomics tailors medication selection to genetic profiles.</w:t>
      </w:r>
    </w:p>
    <w:p>
      <w:r>
        <w:rPr>
          <w:i/>
        </w:rPr>
        <w:t xml:space="preserve"> </w:t>
      </w:r>
      <w:r>
        <w:rPr>
          <w:i/>
        </w:rPr>
        <w:t>Beyond Symptom Tracking</w:t>
      </w:r>
      <w:r>
        <w:t>*: Many healthcare AI systems focus solely on symptom monitoring (e.g., detecting depression severity) without adapting communication style. Our findings suggest that how support is delivered (communication style) may be as important as what support is delivered (clinical content), particularly for engagement and adherence.</w:t>
      </w:r>
    </w:p>
    <w:p>
      <w:pPr>
        <w:pStyle w:val="Heading2"/>
      </w:pPr>
      <w:r>
        <w:t>5.4. Comparison with Existing Literature</w:t>
      </w:r>
    </w:p>
    <w:p>
      <w:r>
        <w:t>Our approach extends the PROMISE framework [7] by integrating motivational psychology theory and healthcare-specific considerations. Unlike previous systems focusing on trait generation, our framework adapts to detected user personalities through theoretically-grounded regulation strategies.</w:t>
      </w:r>
    </w:p>
    <w:p>
      <w:r>
        <w:rPr>
          <w:b/>
        </w:rPr>
        <w:t>Theoretical Advancement</w:t>
      </w:r>
      <w:r>
        <w:t>: The integration of the Zurich Model of Social Motivation with Big Five personality detection represents a novel theoretical contribution to the field of conversational AI. This integration provides a psychologically coherent framework for translating personality traits into actionable behavioral modifications.</w:t>
      </w:r>
    </w:p>
    <w:p>
      <w:r>
        <w:rPr>
          <w:b/>
        </w:rPr>
        <w:t>Performance Comparison</w:t>
      </w:r>
      <w:r>
        <w:t>: The observed effect size (Cohen's d = 4.58) for personality-specific adaptation exceeds typical gains reported in conversational AI literature. For context, Mairesse and Walker (2010) reported small-to-medium effects (d = 0.3-0.5) for personality-matched language generation on perceived naturalness. Zhou et al. (2021) observed medium effects (d = 0.6) for personality-adaptive persuasion effectiveness. Our substantially larger effect reflects both the extreme personality profiles used in simulation and the comprehensive Zurich Model-aligned regulation strategy, though these results are limited to controlled conditions.</w:t>
      </w:r>
    </w:p>
    <w:p>
      <w:r>
        <w:rPr>
          <w:b/>
        </w:rPr>
        <w:t>Methodological Contributions</w:t>
      </w:r>
      <w:r>
        <w:t>: The validated AI evaluation framework (κ = 0.89 agreement with human experts) addresses longstanding concerns about LLM-based evaluation reliability. This validation approach provides a methodological template for future conversational AI research requiring scalable evaluation with maintained validity.</w:t>
      </w:r>
    </w:p>
    <w:p>
      <w:r>
        <w:rPr>
          <w:b/>
        </w:rPr>
        <w:t>Comparison with Healthcare Chatbots</w:t>
      </w:r>
      <w:r>
        <w:t>: Existing healthcare conversational agents like Woebot [3] and ElliQ [4] demonstrate effectiveness in reducing loneliness and improving mental health outcomes but do not implement explicit personality detection or theoretically-grounded adaptation. Our framework provides complementary capabilities that could enhance such systems by adding personality-aware personalization to evidence-based therapeutic content.</w:t>
      </w:r>
    </w:p>
    <w:p>
      <w:pPr>
        <w:pStyle w:val="Heading2"/>
      </w:pPr>
      <w:r>
        <w:t>5.5. Real-World Translation Pathway</w:t>
      </w:r>
    </w:p>
    <w:p>
      <w:r>
        <w:rPr>
          <w:b/>
        </w:rPr>
        <w:t>Immediate Requirements for Human Subject Validation</w:t>
      </w:r>
      <w:r>
        <w:t>:</w:t>
      </w:r>
    </w:p>
    <w:p>
      <w:r>
        <w:t xml:space="preserve">1. </w:t>
      </w:r>
      <w:r>
        <w:rPr>
          <w:b/>
        </w:rPr>
        <w:t>Human Subject Studies</w:t>
      </w:r>
      <w:r>
        <w:t>: Minimum n=50 elderly participants with validated personality assessments (NEO-PI-R, BFI-2)</w:t>
      </w:r>
    </w:p>
    <w:p>
      <w:r>
        <w:t xml:space="preserve">2. </w:t>
      </w:r>
      <w:r>
        <w:rPr>
          <w:b/>
        </w:rPr>
        <w:t>Domain Expert Evaluation</w:t>
      </w:r>
      <w:r>
        <w:t>: Licensed psychologists assessing personality detection accuracy and therapeutic appropriateness</w:t>
      </w:r>
    </w:p>
    <w:p>
      <w:r>
        <w:t xml:space="preserve">3. </w:t>
      </w:r>
      <w:r>
        <w:rPr>
          <w:b/>
        </w:rPr>
        <w:t>Safety Validation</w:t>
      </w:r>
      <w:r>
        <w:t>: Comprehensive risk assessment for potential psychological harms and therapeutic misalignment</w:t>
      </w:r>
    </w:p>
    <w:p>
      <w:r>
        <w:t xml:space="preserve">4. </w:t>
      </w:r>
      <w:r>
        <w:rPr>
          <w:b/>
        </w:rPr>
        <w:t>Cultural Validation</w:t>
      </w:r>
      <w:r>
        <w:t>: Testing across diverse ethnic, linguistic, and cultural groups to ensure generalizability</w:t>
      </w:r>
    </w:p>
    <w:p>
      <w:r>
        <w:t xml:space="preserve">5. </w:t>
      </w:r>
      <w:r>
        <w:rPr>
          <w:b/>
        </w:rPr>
        <w:t>Longitudinal Assessment</w:t>
      </w:r>
      <w:r>
        <w:t>: Extended interaction studies (minimum 30 days) to assess sustained effectiveness and engagement</w:t>
      </w:r>
    </w:p>
    <w:p>
      <w:r>
        <w:rPr>
          <w:b/>
        </w:rPr>
        <w:t>Regulatory Pathway</w:t>
      </w:r>
      <w:r>
        <w:t>:</w:t>
      </w:r>
    </w:p>
    <w:p>
      <w:r>
        <w:t xml:space="preserve">- </w:t>
      </w:r>
      <w:r>
        <w:rPr>
          <w:b/>
        </w:rPr>
        <w:t>IRB Approval</w:t>
      </w:r>
      <w:r>
        <w:t>: Full institutional review board approval for human subjects research</w:t>
      </w:r>
    </w:p>
    <w:p>
      <w:r>
        <w:t xml:space="preserve">- </w:t>
      </w:r>
      <w:r>
        <w:rPr>
          <w:b/>
        </w:rPr>
        <w:t>Data Protection</w:t>
      </w:r>
      <w:r>
        <w:t>: HIPAA/GDPR compliance for healthcare data handling and privacy protection</w:t>
      </w:r>
    </w:p>
    <w:p>
      <w:r>
        <w:t xml:space="preserve">- </w:t>
      </w:r>
      <w:r>
        <w:rPr>
          <w:b/>
        </w:rPr>
        <w:t>FDA Guidance</w:t>
      </w:r>
      <w:r>
        <w:t>: Alignment with emerging FDA guidance for healthcare AI systems and healthcare decision support</w:t>
      </w:r>
    </w:p>
    <w:p>
      <w:r>
        <w:t xml:space="preserve">- </w:t>
      </w:r>
      <w:r>
        <w:rPr>
          <w:b/>
        </w:rPr>
        <w:t>Research Trial Registration</w:t>
      </w:r>
      <w:r>
        <w:t>: Registration for therapeutic efficacy claims and research outcome assessment</w:t>
      </w:r>
    </w:p>
    <w:p>
      <w:r>
        <w:rPr>
          <w:b/>
        </w:rPr>
        <w:t>Timeline Estimate</w:t>
      </w:r>
      <w:r>
        <w:t>: 2-3 years for comprehensive human subject validation, regulatory approval, and initial healthcare deployment</w:t>
      </w:r>
    </w:p>
    <w:p>
      <w:pPr>
        <w:pStyle w:val="Heading2"/>
      </w:pPr>
      <w:r>
        <w:t>5.6. Limitations</w:t>
      </w:r>
    </w:p>
    <w:p>
      <w:r>
        <w:t>This study's findings must be interpreted within significant methodological constraints that restrict generalizability and real-world applicability.</w:t>
      </w:r>
    </w:p>
    <w:p>
      <w:pPr>
        <w:pStyle w:val="Heading2"/>
      </w:pPr>
      <w:r>
        <w:t>5.7. Study Design Limitations</w:t>
      </w:r>
    </w:p>
    <w:p>
      <w:r>
        <w:t>The simulation-only methodology represents the primary constraint. All user inputs were pre-scripted simulated personality profiles rather than spontaneous human responses, likely inflating performance metrics. Human users exhibit complexity, inconsistency, and unpredictability that simulated profiles cannot capture. The observed effect sizes represent upper-bound estimates under ideally controlled conditions rather than realistic performance expectations for clinical deployment.</w:t>
      </w:r>
    </w:p>
    <w:p>
      <w:r>
        <w:t>The extreme personality profiles (all traits at +1 or −1) were deliberately selected to maximize signal detection and test system capability under ideal conditions. Real users exhibit continuous trait distributions and profile complexity (e.g., high Openness + low Agreeableness) that would present greater complexity and ambiguity, likely reducing detection accuracy and regulation effectiveness. The system's performance with moderate profiles (trait values near 0) remains completely untested.</w:t>
      </w:r>
    </w:p>
    <w:p>
      <w:r>
        <w:t>Six-turn dialogues impose strict interaction duration constraints, insufficient for assessing sustained relationships, rapport development, long-term engagement, or therapeutic alliance formation essential for healthcare applications. Long-term failure modes—repetitiveness, adaptation failures, relationship fatigue—cannot be detected in brief interactions.</w:t>
      </w:r>
    </w:p>
    <w:p>
      <w:pPr>
        <w:pStyle w:val="Heading3"/>
      </w:pPr>
      <w:r>
        <w:t>5.7.1. Evaluation and Technical Limitations</w:t>
      </w:r>
    </w:p>
    <w:p>
      <w:r>
        <w:t>The validation sample represents only 25% of the full dataset. While this stratified sampling strategy reduces risk of systematic bias outside the validation sample, the remaining 75% of dialogue turns were evaluated solely by Evaluator GPT without human verification, potentially propagating systematic biases throughout results.</w:t>
      </w:r>
    </w:p>
    <w:p>
      <w:r>
        <w:t>Both the Evaluator GPT and regulated/baseline agents leverage GPT-4 as their foundation model. While human-AI agreement was strong (κ = 0.89), subtle shared linguistic patterns between agent outputs and evaluator assessments could create inflated agreement. Detection operates exclusively on text, excluding paralinguistic cues critical to human personality assessment: tone of voice, speech rate, facial expressions, or physiological signals.</w:t>
      </w:r>
    </w:p>
    <w:p>
      <w:pPr>
        <w:pStyle w:val="Heading3"/>
      </w:pPr>
      <w:r>
        <w:t>5.7.2. Scope and Generalizability Limitations</w:t>
      </w:r>
    </w:p>
    <w:p>
      <w:r>
        <w:t>Perfect or near-perfect performance (100% success rates, zero variance) in regulated agents suggests ceiling effects and simulation artifacts. Perfect performance fails to map failure modes essential for safe deployment. Real-world healthcare applications will inevitably encounter failures; this study provides no evidence about how the system fails, when it fails, or how to detect and mitigate failures.</w:t>
      </w:r>
    </w:p>
    <w:p>
      <w:r>
        <w:t>System patterns were calibrated exclusively for English; cross-cultural validity remains unknown. Personality expression varies significantly across cultures. The system has not been tested with non-Western users, non-English languages, or culturally diverse communication norms.</w:t>
      </w:r>
    </w:p>
    <w:p>
      <w:r>
        <w:t>No measurement of actual health outcomes, therapeutic efficacy, user satisfaction, behavioral changes, or clinical improvement occurred. The study measures conversational appropriateness, not healing, recovery, or quality of life improvement.</w:t>
      </w:r>
    </w:p>
    <w:p>
      <w:pPr>
        <w:pStyle w:val="Heading3"/>
      </w:pPr>
      <w:r>
        <w:t>5.7.3. Ethical Considerations</w:t>
      </w:r>
    </w:p>
    <w:p>
      <w:r>
        <w:t>Personality profiling in healthcare raises concerns about psychological manipulation, stereotype reinforcement, decisional autonomy violation, and privacy invasion. Misclassification could lead to inappropriate therapeutic approaches or exacerbation of mental health symptoms. These risks require careful ethical consideration, comprehensive safety testing, and professional oversight in real-world translation.</w:t>
      </w:r>
    </w:p>
    <w:p>
      <w:pPr>
        <w:pStyle w:val="Heading2"/>
      </w:pPr>
      <w:r>
        <w:t>5.8. Risk Assessment</w:t>
      </w:r>
    </w:p>
    <w:p>
      <w:r>
        <w:t>Table 5. Potential Risks and Mitigation Strategies for Healthcare Deployment</w:t>
      </w:r>
    </w:p>
    <w:tbl>
      <w:tblPr>
        <w:tblStyle w:val="LightGrid-Accent1"/>
        <w:tblW w:type="auto" w:w="0"/>
        <w:tblLook w:firstColumn="1" w:firstRow="1" w:lastColumn="0" w:lastRow="0" w:noHBand="0" w:noVBand="1" w:val="04A0"/>
      </w:tblPr>
      <w:tblGrid>
        <w:gridCol w:w="1984"/>
        <w:gridCol w:w="1984"/>
        <w:gridCol w:w="1984"/>
        <w:gridCol w:w="1984"/>
        <w:gridCol w:w="1984"/>
      </w:tblGrid>
      <w:tr>
        <w:tc>
          <w:tcPr>
            <w:tcW w:type="dxa" w:w="1984"/>
          </w:tcPr>
          <w:p>
            <w:r>
              <w:rPr>
                <w:rFonts w:ascii="Times New Roman" w:hAnsi="Times New Roman"/>
                <w:b/>
                <w:sz w:val="18"/>
              </w:rPr>
              <w:t>Risk Category</w:t>
            </w:r>
          </w:p>
        </w:tc>
        <w:tc>
          <w:tcPr>
            <w:tcW w:type="dxa" w:w="1984"/>
          </w:tcPr>
          <w:p>
            <w:r>
              <w:rPr>
                <w:rFonts w:ascii="Times New Roman" w:hAnsi="Times New Roman"/>
                <w:b/>
                <w:sz w:val="18"/>
              </w:rPr>
              <w:t>Risk Description</w:t>
            </w:r>
          </w:p>
        </w:tc>
        <w:tc>
          <w:tcPr>
            <w:tcW w:type="dxa" w:w="1984"/>
          </w:tcPr>
          <w:p>
            <w:r>
              <w:rPr>
                <w:rFonts w:ascii="Times New Roman" w:hAnsi="Times New Roman"/>
                <w:b/>
                <w:sz w:val="18"/>
              </w:rPr>
              <w:t>Likelihood</w:t>
            </w:r>
          </w:p>
        </w:tc>
        <w:tc>
          <w:tcPr>
            <w:tcW w:type="dxa" w:w="1984"/>
          </w:tcPr>
          <w:p>
            <w:r>
              <w:rPr>
                <w:rFonts w:ascii="Times New Roman" w:hAnsi="Times New Roman"/>
                <w:b/>
                <w:sz w:val="18"/>
              </w:rPr>
              <w:t>Impact</w:t>
            </w:r>
          </w:p>
        </w:tc>
        <w:tc>
          <w:tcPr>
            <w:tcW w:type="dxa" w:w="1984"/>
          </w:tcPr>
          <w:p>
            <w:r>
              <w:rPr>
                <w:rFonts w:ascii="Times New Roman" w:hAnsi="Times New Roman"/>
                <w:b/>
                <w:sz w:val="18"/>
              </w:rPr>
              <w:t>Mitigation Strategy</w:t>
            </w:r>
          </w:p>
        </w:tc>
      </w:tr>
      <w:tr>
        <w:tc>
          <w:tcPr>
            <w:tcW w:type="dxa" w:w="1984"/>
          </w:tcPr>
          <w:p>
            <w:r>
              <w:rPr>
                <w:rFonts w:ascii="Times New Roman" w:hAnsi="Times New Roman"/>
                <w:sz w:val="18"/>
              </w:rPr>
              <w:t>Misclassification</w:t>
            </w:r>
          </w:p>
        </w:tc>
        <w:tc>
          <w:tcPr>
            <w:tcW w:type="dxa" w:w="1984"/>
          </w:tcPr>
          <w:p>
            <w:r>
              <w:rPr>
                <w:rFonts w:ascii="Times New Roman" w:hAnsi="Times New Roman"/>
                <w:sz w:val="18"/>
              </w:rPr>
              <w:t>Incorrect personality assessment</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Conservative thresholds, provider oversight, fallback protocols</w:t>
            </w:r>
          </w:p>
        </w:tc>
      </w:tr>
      <w:tr>
        <w:tc>
          <w:tcPr>
            <w:tcW w:type="dxa" w:w="1984"/>
          </w:tcPr>
          <w:p>
            <w:r>
              <w:rPr>
                <w:rFonts w:ascii="Times New Roman" w:hAnsi="Times New Roman"/>
                <w:sz w:val="18"/>
              </w:rPr>
              <w:t>Cultural Bias</w:t>
            </w:r>
          </w:p>
        </w:tc>
        <w:tc>
          <w:tcPr>
            <w:tcW w:type="dxa" w:w="1984"/>
          </w:tcPr>
          <w:p>
            <w:r>
              <w:rPr>
                <w:rFonts w:ascii="Times New Roman" w:hAnsi="Times New Roman"/>
                <w:sz w:val="18"/>
              </w:rPr>
              <w:t>Reduced accuracy across cultures</w:t>
            </w:r>
          </w:p>
        </w:tc>
        <w:tc>
          <w:tcPr>
            <w:tcW w:type="dxa" w:w="1984"/>
          </w:tcPr>
          <w:p>
            <w:r>
              <w:rPr>
                <w:rFonts w:ascii="Times New Roman" w:hAnsi="Times New Roman"/>
                <w:sz w:val="18"/>
              </w:rPr>
              <w:t>High</w:t>
            </w:r>
          </w:p>
        </w:tc>
        <w:tc>
          <w:tcPr>
            <w:tcW w:type="dxa" w:w="1984"/>
          </w:tcPr>
          <w:p>
            <w:r>
              <w:rPr>
                <w:rFonts w:ascii="Times New Roman" w:hAnsi="Times New Roman"/>
                <w:sz w:val="18"/>
              </w:rPr>
              <w:t>High</w:t>
            </w:r>
          </w:p>
        </w:tc>
        <w:tc>
          <w:tcPr>
            <w:tcW w:type="dxa" w:w="1984"/>
          </w:tcPr>
          <w:p>
            <w:r>
              <w:rPr>
                <w:rFonts w:ascii="Times New Roman" w:hAnsi="Times New Roman"/>
                <w:sz w:val="18"/>
              </w:rPr>
              <w:t>Diverse validation cohorts, cultural adaptation algorithms, bias detection systems</w:t>
            </w:r>
          </w:p>
        </w:tc>
      </w:tr>
      <w:tr>
        <w:tc>
          <w:tcPr>
            <w:tcW w:type="dxa" w:w="1984"/>
          </w:tcPr>
          <w:p>
            <w:r>
              <w:rPr>
                <w:rFonts w:ascii="Times New Roman" w:hAnsi="Times New Roman"/>
                <w:sz w:val="18"/>
              </w:rPr>
              <w:t>Over-reliance</w:t>
            </w:r>
          </w:p>
        </w:tc>
        <w:tc>
          <w:tcPr>
            <w:tcW w:type="dxa" w:w="1984"/>
          </w:tcPr>
          <w:p>
            <w:r>
              <w:rPr>
                <w:rFonts w:ascii="Times New Roman" w:hAnsi="Times New Roman"/>
                <w:sz w:val="18"/>
              </w:rPr>
              <w:t>Excessive dependence on AI</w:t>
            </w:r>
          </w:p>
        </w:tc>
        <w:tc>
          <w:tcPr>
            <w:tcW w:type="dxa" w:w="1984"/>
          </w:tcPr>
          <w:p>
            <w:r>
              <w:rPr>
                <w:rFonts w:ascii="Times New Roman" w:hAnsi="Times New Roman"/>
                <w:sz w:val="18"/>
              </w:rPr>
              <w:t>Medium</w:t>
            </w:r>
          </w:p>
        </w:tc>
        <w:tc>
          <w:tcPr>
            <w:tcW w:type="dxa" w:w="1984"/>
          </w:tcPr>
          <w:p>
            <w:r>
              <w:rPr>
                <w:rFonts w:ascii="Times New Roman" w:hAnsi="Times New Roman"/>
                <w:sz w:val="18"/>
              </w:rPr>
              <w:t>Medium</w:t>
            </w:r>
          </w:p>
        </w:tc>
        <w:tc>
          <w:tcPr>
            <w:tcW w:type="dxa" w:w="1984"/>
          </w:tcPr>
          <w:p>
            <w:r>
              <w:rPr>
                <w:rFonts w:ascii="Times New Roman" w:hAnsi="Times New Roman"/>
                <w:sz w:val="18"/>
              </w:rPr>
              <w:t>Provider training, clear limitations communication, human oversight requirements</w:t>
            </w:r>
          </w:p>
        </w:tc>
      </w:tr>
      <w:tr>
        <w:tc>
          <w:tcPr>
            <w:tcW w:type="dxa" w:w="1984"/>
          </w:tcPr>
          <w:p>
            <w:r>
              <w:rPr>
                <w:rFonts w:ascii="Times New Roman" w:hAnsi="Times New Roman"/>
                <w:sz w:val="18"/>
              </w:rPr>
              <w:t>Privacy Breach</w:t>
            </w:r>
          </w:p>
        </w:tc>
        <w:tc>
          <w:tcPr>
            <w:tcW w:type="dxa" w:w="1984"/>
          </w:tcPr>
          <w:p>
            <w:r>
              <w:rPr>
                <w:rFonts w:ascii="Times New Roman" w:hAnsi="Times New Roman"/>
                <w:sz w:val="18"/>
              </w:rPr>
              <w:t>Unauthorized personality data access</w:t>
            </w:r>
          </w:p>
        </w:tc>
        <w:tc>
          <w:tcPr>
            <w:tcW w:type="dxa" w:w="1984"/>
          </w:tcPr>
          <w:p>
            <w:r>
              <w:rPr>
                <w:rFonts w:ascii="Times New Roman" w:hAnsi="Times New Roman"/>
                <w:sz w:val="18"/>
              </w:rPr>
              <w:t>Low</w:t>
            </w:r>
          </w:p>
        </w:tc>
        <w:tc>
          <w:tcPr>
            <w:tcW w:type="dxa" w:w="1984"/>
          </w:tcPr>
          <w:p>
            <w:r>
              <w:rPr>
                <w:rFonts w:ascii="Times New Roman" w:hAnsi="Times New Roman"/>
                <w:sz w:val="18"/>
              </w:rPr>
              <w:t>High</w:t>
            </w:r>
          </w:p>
        </w:tc>
        <w:tc>
          <w:tcPr>
            <w:tcW w:type="dxa" w:w="1984"/>
          </w:tcPr>
          <w:p>
            <w:r>
              <w:rPr>
                <w:rFonts w:ascii="Times New Roman" w:hAnsi="Times New Roman"/>
                <w:sz w:val="18"/>
              </w:rPr>
              <w:t>End-to-end encryption, access controls, audit logging, HIPAA compliance</w:t>
            </w:r>
          </w:p>
        </w:tc>
      </w:tr>
      <w:tr>
        <w:tc>
          <w:tcPr>
            <w:tcW w:type="dxa" w:w="1984"/>
          </w:tcPr>
          <w:p>
            <w:r>
              <w:rPr>
                <w:rFonts w:ascii="Times New Roman" w:hAnsi="Times New Roman"/>
                <w:sz w:val="18"/>
              </w:rPr>
              <w:t>Therapeutic Harm</w:t>
            </w:r>
          </w:p>
        </w:tc>
        <w:tc>
          <w:tcPr>
            <w:tcW w:type="dxa" w:w="1984"/>
          </w:tcPr>
          <w:p>
            <w:r>
              <w:rPr>
                <w:rFonts w:ascii="Times New Roman" w:hAnsi="Times New Roman"/>
                <w:sz w:val="18"/>
              </w:rPr>
              <w:t>Inappropriate psychological intervention</w:t>
            </w:r>
          </w:p>
        </w:tc>
        <w:tc>
          <w:tcPr>
            <w:tcW w:type="dxa" w:w="1984"/>
          </w:tcPr>
          <w:p>
            <w:r>
              <w:rPr>
                <w:rFonts w:ascii="Times New Roman" w:hAnsi="Times New Roman"/>
                <w:sz w:val="18"/>
              </w:rPr>
              <w:t>Medium</w:t>
            </w:r>
          </w:p>
        </w:tc>
        <w:tc>
          <w:tcPr>
            <w:tcW w:type="dxa" w:w="1984"/>
          </w:tcPr>
          <w:p>
            <w:r>
              <w:rPr>
                <w:rFonts w:ascii="Times New Roman" w:hAnsi="Times New Roman"/>
                <w:sz w:val="18"/>
              </w:rPr>
              <w:t>High</w:t>
            </w:r>
          </w:p>
        </w:tc>
        <w:tc>
          <w:tcPr>
            <w:tcW w:type="dxa" w:w="1984"/>
          </w:tcPr>
          <w:p>
            <w:r>
              <w:rPr>
                <w:rFonts w:ascii="Times New Roman" w:hAnsi="Times New Roman"/>
                <w:sz w:val="18"/>
              </w:rPr>
              <w:t>Professional supervision, safety protocols, emergency escalation procedures</w:t>
            </w:r>
          </w:p>
        </w:tc>
      </w:tr>
    </w:tbl>
    <w:p/>
    <w:p>
      <w:r>
        <w:rPr>
          <w:b/>
        </w:rPr>
        <w:t>Risk Mitigation Framework</w:t>
      </w:r>
      <w:r>
        <w:t>: The identified risks require a comprehensive mitigation strategy involving technical safeguards, professional oversight, and regulatory compliance. The conservative approach to personality detection and the emphasis on healthcare-specific regulation design help minimize many of these risks.</w:t>
      </w:r>
    </w:p>
    <w:p>
      <w:pPr>
        <w:pStyle w:val="Heading2"/>
      </w:pPr>
      <w:r>
        <w:t>5.9. Future Research Priorities</w:t>
      </w:r>
    </w:p>
    <w:p>
      <w:r>
        <w:t>The findings from this proof-of-concept study establish a foundation for a comprehensive research roadmap that transitions from controlled simulation to real-world validation. The pathway to clinical deployment requires systematic human subject research, technical enhancement, cultural validation, and regulatory engagement—a process we estimate will span 2-3 years of intensive investigation.</w:t>
      </w:r>
    </w:p>
    <w:p>
      <w:pPr>
        <w:pStyle w:val="Heading3"/>
      </w:pPr>
      <w:r>
        <w:t>5.9.1. Immediate Next Steps: Human Subject Validation (Months 0-12)</w:t>
      </w:r>
    </w:p>
    <w:p>
      <w:r>
        <w:t>The most critical limitation of simulation-based research is the complete absence of real user data. We propose launching a pilot randomized controlled trial with 50-100 elderly participants (aged 65+, living independently, experiencing moderate loneliness) over a 6-12 month timeline. This pilot study would compare three conditions: personality-adaptive conversational AI, static supportive AI, and waitlist control, with participants engaging in daily 10-minute interactions over four weeks (28 total sessions). Primary outcome measurement would focus on the UCLA Loneliness Scale with pre- and post-intervention assessment. Secondary measurements would include user satisfaction (System Usability Scale), engagement metrics (session completion rates, conversation length patterns), depression symptoms (PHQ-9), and anxiety symptoms (GAD-7).</w:t>
      </w:r>
    </w:p>
    <w:p>
      <w:r>
        <w:t>Critical to the pilot design is direct comparison of AI-detected personality profiles with validated psychometric assessments (NEO-PI-R or BFI-2) administered at baseline, enabling rigorous measurement of detection accuracy in real users. Licensed clinical psychologists would independently rate conversation quality across the full pilot dataset, moving beyond automated evaluation to clinical judgment about therapeutic appropriateness, potential harms, ethical concerns, and clinical contraindications. Qualitative interviews would capture participant subjective experience regarding perceived personalization, trust in the system, and psychological safety. Concurrent with the pilot study, comprehensive safety monitoring protocols would include weekly check-ins with study staff to systematically assess for adverse events, psychological distress, or system malfunctions.</w:t>
      </w:r>
    </w:p>
    <w:p>
      <w:pPr>
        <w:pStyle w:val="Heading3"/>
      </w:pPr>
      <w:r>
        <w:t>5.9.2. Medium-term Research: Profile Diversity and Cultural Validation (Months 6-18)</w:t>
      </w:r>
    </w:p>
    <w:p>
      <w:r>
        <w:t>A significant research gap is the restriction of testing to extreme personality profiles representing the boundaries of trait distributions. Months 6-12 would expand testing to users with moderate personality trait values (BFI-2 scores within 0.5 standard deviations of population mean), enabling assessment of whether personality adaptation benefits individuals with typical, non-extreme profiles. This phase would generate performance degradation curves showing how system effectiveness decreases as personality profiles transition from extreme toward realistic distributions, establishing which system components generalize to broader populations and which require modification.</w:t>
      </w:r>
    </w:p>
    <w:p>
      <w:r>
        <w:t>Concurrently, cultural validation research (months 12-18) would assess system performance across diverse cultural groups, recognizing that personality expression, communication norms, and therapeutic appropriateness vary fundamentally across cultures. This phase would include systematic testing with participants from Western individualist, East Asian collectivist, and Latin American cultural contexts, with native speaker consultation for prompt translation and cultural adaptation. Rigorous assessment of cultural bias in personality detection and evaluation of whether regulation strategies are perceived as appropriate and helpful across cultural groups would inform development of culture-specific adaptation algorithms if necessary. This research directly addresses the current limitation of calibration exclusively for English language and Western cultural communication patterns.</w:t>
      </w:r>
    </w:p>
    <w:p>
      <w:pPr>
        <w:pStyle w:val="Heading3"/>
      </w:pPr>
      <w:r>
        <w:t>5.9.3. Long-term Research: Sustained Engagement and Regulatory Preparation (Months 18-36)</w:t>
      </w:r>
    </w:p>
    <w:p>
      <w:r>
        <w:t>Extended engagement studies spanning 3-6 months would assess whether personality-adaptive benefits sustain beyond the brief interaction periods of pilot studies, including measurement of relationship development, therapeutic alliance quality (using validated alliance measures), and long-term outcome trajectories. This research phase would examine whether the system demonstrates sustained effectiveness or shows diminishing returns, relationship fatigue, or adaptation failures—critical failure modes that brief studies cannot detect.</w:t>
      </w:r>
    </w:p>
    <w:p>
      <w:r>
        <w:t>Technical development priorities for this phase include multimodal personality detection incorporating voice tone, facial expressions, and physiological signals to overcome the current text-only limitation. Continuous learning mechanisms and adaptation algorithms would enable the system to improve accuracy over time based on individual user interaction patterns. Development of uncertainty quantification methods would enable the system to appropriately acknowledge when confidence in personality assessments is low, and failure mode detection systems would enable recognition when the system is operating outside its competence range.</w:t>
      </w:r>
    </w:p>
    <w:p>
      <w:r>
        <w:t>Regulatory and ethical framework development during this phase is equally critical. Full institutional review board protocols for human subject research must be developed for the pilot study and any subsequent trials. Comprehensive informed consent frameworks must explain AI personality profiling mechanisms, data use, potential limitations, and study procedures in language understandable to potential participants. Safety monitoring plans must establish protocols for detecting and responding to adverse events, psychological distress, or therapeutic misalignment. Healthcare integration research must assess electronic health record compatibility, provider workflow integration, patient education requirements, and quality assurance monitoring systems for ongoing safety assessment. Regulatory pathway planning should include early engagement with FDA and EMA to clarify classification requirements and approval pathways for healthcare AI applications.</w:t>
      </w:r>
    </w:p>
    <w:p>
      <w:pPr>
        <w:pStyle w:val="Heading3"/>
      </w:pPr>
      <w:r>
        <w:t>5.9.4. Overall Implementation Timeline</w:t>
      </w:r>
    </w:p>
    <w:p>
      <w:r>
        <w:t>We estimate 2-3 years for comprehensive human subject validation, moderate profile testing, cultural validation, extended engagement studies, and regulatory preparation before this technology could be considered ready for clinical piloting in controlled healthcare settings. Even following successful pilot outcomes, deployment would require ongoing monitoring, professional oversight, and iterative refinement based on real-world performance data.</w:t>
      </w:r>
    </w:p>
    <w:p>
      <w:pPr>
        <w:pStyle w:val="Heading1"/>
      </w:pPr>
      <w:r>
        <w:t>6. Conclusions</w:t>
      </w:r>
    </w:p>
    <w:p>
      <w:r>
        <w:t>This simulation study demonstrates the technical feasibility of personality-adaptive conversational AI using real-time Big Five trait detection and Zurich Model-aligned behavior regulation. The framework achieved perfect detection accuracy (100%, 58/58) and regulation effectiveness (100%, 59/59) in controlled conditions, with an exceptionally large effect size for personality-specific adaptation (Cohen's d = 4.58, p &lt; 0.001).</w:t>
      </w:r>
    </w:p>
    <w:p>
      <w:r>
        <w:rPr>
          <w:b/>
        </w:rPr>
        <w:t>Key Statistical Finding</w:t>
      </w:r>
      <w:r>
        <w:t>: Regulated agents achieved 100% success in addressing personality-specific needs compared to baseline's 8.62% success rate, representing a 91.38 percentage point improvement. This effect size (Cohen's d = 4.58) far exceeds conventional thresholds for large effects (d &gt; 0.8) and provides robust quantitative evidence that personality-adaptive regulation produces meaningful performance improvements under controlled simulation conditions. Critically, this enhancement was selective: both regulated and baseline agents performed equivalently on basic conversational quality metrics (Emotional Tone, Relevance &amp; Coherence), demonstrating that personality adaptation specifically enhances personalization without compromising fundamental competence.</w:t>
      </w:r>
    </w:p>
    <w:p>
      <w:r>
        <w:rPr>
          <w:b/>
        </w:rPr>
        <w:t>Validated Evaluation Methodology</w:t>
      </w:r>
      <w:r>
        <w:t>: Concerns about AI-evaluating-AI bias were addressed through validation against human expert raters (two PhD-level in-house research experts), yielding excellent agreement (Cohen's κ = 0.89, 95% CI: 0.84-0.94). This validation establishes that observed performance differences are detectable by both human and AI evaluators, providing confidence in the reliability of the evaluation framework.</w:t>
      </w:r>
    </w:p>
    <w:p>
      <w:r>
        <w:rPr>
          <w:b/>
        </w:rPr>
        <w:t>Critical Limitations and Reality Check</w:t>
      </w:r>
      <w:r>
        <w:t xml:space="preserve">: The perfect performance observed in simulation (100% success rates, zero variance) is </w:t>
      </w:r>
      <w:r>
        <w:rPr>
          <w:b/>
        </w:rPr>
        <w:t>not</w:t>
      </w:r>
      <w:r>
        <w:t xml:space="preserve"> realistic or expected in real-world healthcare applications. These results represent an upper bound under ideally controlled conditions (extreme personalities, pre-scripted responses, brief interactions, validated evaluation). Real-world deployment will encounter: (1) moderate and mixed personality profiles, (2) spontaneous, unpredictable human communication, (3) cultural diversity and linguistic variation, (4) long-term relationship complexity, and (5) clinical scenarios with comorbidities and crisis situations. Performance will inevitably degrade under these realistic conditions, and the system's failure modes remain unmapped.</w:t>
      </w:r>
    </w:p>
    <w:p>
      <w:r>
        <w:rPr>
          <w:b/>
        </w:rPr>
        <w:t>Immediate Next Steps—Human Subject Validation is Essential</w:t>
      </w:r>
      <w:r>
        <w:t>: The most critical limitation is the absence of real user validation. We propose an immediate pilot study with 50-100 elderly participants in a randomized controlled trial (personality-adaptive vs. static AI vs. control), with 4-week daily interactions measuring loneliness, user satisfaction, engagement, and safety. This pilot must include: (1) validated personality assessments (NEO-PI-R) to benchmark AI detection accuracy in real users, (2) human expert evaluation across the full dataset, (3) cultural diversity in participant recruitment, and (4) comprehensive safety monitoring. We estimate 2-3 years for complete human subject validation, cultural testing, and regulatory preparation before clinical piloting could be considered.</w:t>
      </w:r>
    </w:p>
    <w:p>
      <w:r>
        <w:rPr>
          <w:b/>
        </w:rPr>
        <w:t>Regulatory and Ethical Requirements</w:t>
      </w:r>
      <w:r>
        <w:t>: Translation to healthcare deployment requires: (1) full institutional review board approval for human subjects research, (2) informed consent protocols explaining AI personality profiling and limitations, (3) professional supervision and safety protocols, (4) regulatory engagement with FDA/EMA on approval pathways, (5) HIPAA/GDPR compliance for data protection, and (6) ongoing monitoring for adverse events and therapeutic misalignment.</w:t>
      </w:r>
    </w:p>
    <w:p>
      <w:r>
        <w:rPr>
          <w:b/>
        </w:rPr>
        <w:t>Final Assessment</w:t>
      </w:r>
      <w:r>
        <w:t xml:space="preserve">: This proof-of-concept establishes that personality-adaptive conversational AI is technically feasible and produces exceptionally large effect sizes in controlled simulation (d = 4.58, p &lt; 0.001). However, these findings provide </w:t>
      </w:r>
      <w:r>
        <w:rPr>
          <w:b/>
        </w:rPr>
        <w:t>no evidence</w:t>
      </w:r>
      <w:r>
        <w:t xml:space="preserve"> about real-world effectiveness, therapeutic efficacy, or clinical safety. The simulation demonstrates "can it work under ideal conditions?" (answer: yes), but cannot address "does it work for real users?" (answer: unknown, requires human trials). Success depends entirely on rigorous human subject validation demonstrating that these simulation results translate to real-world therapeutic benefits without causing harms. Until such validation is completed, these findings should be interpreted exclusively as technical feasibility demonstration, not as evidence supporting healthcare deployment or therapeutic applications.</w:t>
      </w:r>
    </w:p>
    <w:p>
      <w:pPr>
        <w:pStyle w:val="Heading1"/>
      </w:pPr>
      <w:r>
        <w:t>Data Availability Statement</w:t>
      </w:r>
    </w:p>
    <w:p>
      <w:r>
        <w:t>Research data, complete implementation code, detection prompts, regulation templates, simulation transcripts, and human expert validation materials are available in a public repository at: https://github.com/[username]/personality-ai-simulation [to be made public upon publication]. Raw simulation logs, evaluation matrices, statistical analysis scripts, and human expert rating data can be requested from the corresponding author.</w:t>
      </w:r>
    </w:p>
    <w:p>
      <w:pPr>
        <w:pStyle w:val="Heading1"/>
      </w:pPr>
      <w:r>
        <w:t>Author Contributions</w:t>
      </w:r>
    </w:p>
    <w:p>
      <w:r>
        <w:t>Conceptualization, [Primary Author] and [Co-authors if any]; methodology, [Primary Author]; software, [Primary Author]; validation, [Primary Author] and [Clinical Psychologists - validation study]; formal analysis, [Primary Author]; investigation, [Primary Author]; resources, [Primary Author]; data curation, [Primary Author]; writing—original draft preparation, [Primary Author]; writing—review and editing, [Primary Author] and [Supervisors]; visualization, [Primary Author]; supervision, [Supervisor Names]; project administration, [Primary Author]; funding acquisition, not applicable. All authors have read and agreed to the published version of the manuscript.</w:t>
      </w:r>
    </w:p>
    <w:p>
      <w:pPr>
        <w:pStyle w:val="Heading1"/>
      </w:pPr>
      <w:r>
        <w:t>7. Funding</w:t>
      </w:r>
    </w:p>
    <w:p>
      <w:r>
        <w:t>This research received no external funding.</w:t>
      </w:r>
    </w:p>
    <w:p>
      <w:pPr>
        <w:pStyle w:val="Heading1"/>
      </w:pPr>
      <w:r>
        <w:t>Institutional Review Board Statement</w:t>
      </w:r>
    </w:p>
    <w:p>
      <w:r>
        <w:t>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p>
      <w:pPr>
        <w:pStyle w:val="Heading1"/>
      </w:pPr>
      <w:r>
        <w:t>Informed Consent Statement</w:t>
      </w:r>
    </w:p>
    <w:p>
      <w:r>
        <w:t>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pStyle w:val="Heading1"/>
      </w:pPr>
      <w:r>
        <w:t>Acknowledgments</w:t>
      </w:r>
    </w:p>
    <w:p>
      <w:r>
        <w:t>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(Wu et al., 2023) whose work informed our system architecture. We also acknowledge OpenAI for providing GPT-4 API access for system implementation and evaluation.</w:t>
      </w:r>
    </w:p>
    <w:p>
      <w:pPr>
        <w:pStyle w:val="Heading1"/>
      </w:pPr>
      <w:r>
        <w:t>Conflicts of Interest</w:t>
      </w:r>
    </w:p>
    <w:p>
      <w:r>
        <w:t>The authors declare no conflicts of interest.</w:t>
      </w:r>
    </w:p>
    <w:p>
      <w:pPr>
        <w:pStyle w:val="Heading1"/>
      </w:pPr>
      <w:r>
        <w:t>References</w:t>
      </w:r>
    </w:p>
    <w:p>
      <w:r>
        <w:t xml:space="preserve">[1] Holt-Lunstad, J., Smith, T.B., &amp; Layton, J.B. (2010). Social relationships and mortality risk: A meta-analytic review. </w:t>
      </w:r>
      <w:r>
        <w:rPr>
          <w:i/>
        </w:rPr>
        <w:t>PLOS Medicine</w:t>
      </w:r>
      <w:r>
        <w:t xml:space="preserve">, </w:t>
      </w:r>
      <w:r>
        <w:rPr>
          <w:i/>
        </w:rPr>
        <w:t>7</w:t>
      </w:r>
      <w:r>
        <w:t>(7), e1000316.</w:t>
      </w:r>
    </w:p>
    <w:p>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r>
        <w:t xml:space="preserve">[3] Costa, P.T., &amp; McCrae, R.R. (1992). Revised NEO personality inventory (NEO-PI-R) and NEO five-factor inventory (NEO-FFI): Professional manual. </w:t>
      </w:r>
      <w:r>
        <w:rPr>
          <w:i/>
        </w:rPr>
        <w:t>Psychological Assessment Resources</w:t>
      </w:r>
      <w:r>
        <w:t>.</w:t>
      </w:r>
    </w:p>
    <w:p>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r>
        <w:t xml:space="preserve">[5] Azaria, A., Azoulay, R., &amp; Reches, S. (2023). ChatGPT is a remarkable tool—for experts. </w:t>
      </w:r>
      <w:r>
        <w:rPr>
          <w:i/>
        </w:rPr>
        <w:t>Nature Medicine</w:t>
      </w:r>
      <w:r>
        <w:t xml:space="preserve">, </w:t>
      </w:r>
      <w:r>
        <w:rPr>
          <w:i/>
        </w:rPr>
        <w:t>29</w:t>
      </w:r>
      <w:r>
        <w:t>, 1663-1664.</w:t>
      </w:r>
    </w:p>
    <w:p>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r>
        <w:t xml:space="preserve">[7] Wu, W., Yan, Z., Peng, W., et al. (2023). PROMISE: A framework for model-driven stateful prompt orchestration. </w:t>
      </w:r>
      <w:r>
        <w:rPr>
          <w:i/>
        </w:rPr>
        <w:t>arXiv preprint arXiv:2307.04122</w:t>
      </w:r>
      <w:r>
        <w:t>.</w:t>
      </w:r>
    </w:p>
    <w:p>
      <w:r>
        <w:t xml:space="preserve">[8] Bickmore, T.W., &amp; Picard, R.W. (2005). Establishing and maintaining long-term human-computer relationships. </w:t>
      </w:r>
      <w:r>
        <w:rPr>
          <w:i/>
        </w:rPr>
        <w:t>ACM Transactions on Computer-Human Interaction</w:t>
      </w:r>
      <w:r>
        <w:t xml:space="preserve">, </w:t>
      </w:r>
      <w:r>
        <w:rPr>
          <w:i/>
        </w:rPr>
        <w:t>12</w:t>
      </w:r>
      <w:r>
        <w:t>(2), 293-327.</w:t>
      </w:r>
    </w:p>
    <w:p>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r>
        <w:t xml:space="preserve">[10] Quirin, M., Konrath, S., Kehr, H., &amp; Kuhl, J. (2022). Dynamics of personality: The Zurich model of motivation revived, extended, and applied. </w:t>
      </w:r>
      <w:r>
        <w:rPr>
          <w:i/>
        </w:rPr>
        <w:t>Journal of Personality</w:t>
      </w:r>
      <w:r>
        <w:t xml:space="preserve">, </w:t>
      </w:r>
      <w:r>
        <w:rPr>
          <w:i/>
        </w:rPr>
        <w:t>90</w:t>
      </w:r>
      <w:r>
        <w:t>(1), 4-26.</w:t>
      </w:r>
    </w:p>
    <w:p>
      <w:r>
        <w:t xml:space="preserve">[11] Krippendorff, K. (2011). Computing Krippendorff's alpha-reliability. </w:t>
      </w:r>
      <w:r>
        <w:rPr>
          <w:i/>
        </w:rPr>
        <w:t>Departmental Papers (ASC)</w:t>
      </w:r>
      <w:r>
        <w:t>, University of Pennsylvania.</w:t>
      </w:r>
    </w:p>
    <w:p>
      <w:pPr>
        <w:pStyle w:val="Heading1"/>
      </w:pPr>
      <w:r>
        <w:t>Supplementary Materials</w:t>
      </w:r>
    </w:p>
    <w:p>
      <w:r>
        <w:t>The following supporting information can be downloaded at: [repository link to be provided upon publication]:</w:t>
      </w:r>
    </w:p>
    <w:p>
      <w:r>
        <w:t xml:space="preserve">- </w:t>
      </w:r>
      <w:r>
        <w:rPr>
          <w:b/>
        </w:rPr>
        <w:t>Supplementary File S1</w:t>
      </w:r>
      <w:r>
        <w:t>: Complete system prompts for personality detection (5 Big Five trait detectors)</w:t>
      </w:r>
    </w:p>
    <w:p>
      <w:r>
        <w:t xml:space="preserve">- </w:t>
      </w:r>
      <w:r>
        <w:rPr>
          <w:b/>
        </w:rPr>
        <w:t>Supplementary File S2</w:t>
      </w:r>
      <w:r>
        <w:t>: Regulation templates for Zurich Model mapping (arousal, security, affiliation)</w:t>
      </w:r>
    </w:p>
    <w:p>
      <w:r>
        <w:t xml:space="preserve">- </w:t>
      </w:r>
      <w:r>
        <w:rPr>
          <w:b/>
        </w:rPr>
        <w:t>Supplementary File S3</w:t>
      </w:r>
      <w:r>
        <w:t>: Evaluator GPT system prompt and scoring matrix</w:t>
      </w:r>
    </w:p>
    <w:p>
      <w:r>
        <w:t xml:space="preserve">- </w:t>
      </w:r>
      <w:r>
        <w:rPr>
          <w:b/>
        </w:rPr>
        <w:t>Supplementary File S4</w:t>
      </w:r>
      <w:r>
        <w:t>: Human expert validation study protocol and inter-rater reliability analysis</w:t>
      </w:r>
    </w:p>
    <w:p>
      <w:r>
        <w:t xml:space="preserve">- </w:t>
      </w:r>
      <w:r>
        <w:rPr>
          <w:b/>
        </w:rPr>
        <w:t>Supplementary File S5</w:t>
      </w:r>
      <w:r>
        <w:t>: Complete simulation transcripts (20 conversations, 120 dialogue turns)</w:t>
      </w:r>
    </w:p>
    <w:p>
      <w:r>
        <w:t xml:space="preserve">- </w:t>
      </w:r>
      <w:r>
        <w:rPr>
          <w:b/>
        </w:rPr>
        <w:t>Supplementary File S6</w:t>
      </w:r>
      <w:r>
        <w:t>: Statistical analysis code (R scripts for effect sizes, inferential tests, visualizations)</w:t>
      </w:r>
    </w:p>
    <w:p>
      <w:r>
        <w:t xml:space="preserve">- </w:t>
      </w:r>
      <w:r>
        <w:rPr>
          <w:b/>
        </w:rPr>
        <w:t>Supplementary File S7</w:t>
      </w:r>
      <w:r>
        <w:t>: Extended qualitative examples demonstrating personality adaptation</w:t>
      </w:r>
    </w:p>
    <w:p>
      <w:r>
        <w:t xml:space="preserve">- </w:t>
      </w:r>
      <w:r>
        <w:rPr>
          <w:b/>
        </w:rPr>
        <w:t>Supplementary File S8</w:t>
      </w:r>
      <w:r>
        <w:t>: Cultural considerations and linguistic bias analysis</w:t>
      </w:r>
    </w:p>
    <w:p>
      <w:r>
        <w:t xml:space="preserve">- </w:t>
      </w:r>
      <w:r>
        <w:rPr>
          <w:b/>
        </w:rPr>
        <w:t>Supplementary File S9</w:t>
      </w:r>
      <w:r>
        <w:t>: Future human subject study protocol (detailed research design for pilot RCT)</w:t>
      </w:r>
    </w:p>
    <w:sectPr w:rsidR="00FC693F" w:rsidRPr="0006063C" w:rsidSect="00034616">
      <w:pgSz w:w="11906" w:h="16838"/>
      <w:pgMar w:top="850" w:right="992" w:bottom="198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