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**demonstrates architectural feasibility** of a personality-adaptive framework integrating real-time Big Five trait detection with Zurich Model-aligned behavioral regulation **under controlled simulation conditions**. We conducted a controlled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that was benchmarked for agreement with human ratings (Cohen's κ = 0.89). Under idealized simulation conditions, the system demonstrated **complete implementation fidelity** (detection: 100%, 58/58; regulation: 100%, 59/59), **confirming that PROMISE-orchestrated modules correctly execute designed logic when tested with boundary-condition profiles**.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**upper bound** rather than realistic clinical expectations. Implementation fidelity denotes agreement with simulated reference profiles, not validated personality assessment in human subjects. Extensive human validation is mandatory before any clinical deployment. This simulation establishes **architectural and algorithmic feasibility** of personality-adaptive conversational AI components, **demonstrating that the proposed detection-regulation-evaluation pipeline can be implemented using current LLM technology when tested in controlled conditions**.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 **Keywords:** digital mental health; conversational agents; large language models; personality detection; Big Five; Zurich Model; adaptive interaction; emotional support; simulation study; GPT-4</w:t>
      </w:r>
    </w:p>
    <w:p>
      <w:pPr>
        <w:pStyle w:val="Heading1"/>
      </w:pPr>
      <w:r>
        <w:t>1. Introduction</w:t>
      </w:r>
    </w:p>
    <w:p>
      <w:r>
        <w:t>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r>
        <w:t xml:space="preserve">Digital mental health tools leveraging large language models (LLMs) have demonstrated capacity for emotionally relevant, context-aware responses [8,9], yet a critical limitation persists: </w:t>
      </w:r>
      <w:r>
        <w:rPr>
          <w:b/>
        </w:rPr>
        <w:t>current systems rely on generic communication strategies that fail to account for stable personality differences fundamentally shaping how individuals process emotions, seek support, and respond to intervention styles</w:t>
      </w:r>
      <w:r>
        <w:t xml:space="preserve"> [4]. Existing approaches provide only shallow personalization through static assessments, lacking mechanisms for continuous personality modeling grounded in psychological theory or dynamic adaptation to individual differences throughout interactions.</w:t>
      </w:r>
    </w:p>
    <w:p>
      <w:r>
        <w:t xml:space="preserve">To address these limitations, we developed a personality-adaptive conversational framework integrating three components: (i) </w:t>
      </w:r>
      <w:r>
        <w:rPr>
          <w:b/>
        </w:rPr>
        <w:t>real-time Big Five personality trait detection</w:t>
      </w:r>
      <w:r>
        <w:t xml:space="preserve"> using continuous linguistic analysis, (ii) </w:t>
      </w:r>
      <w:r>
        <w:rPr>
          <w:b/>
        </w:rPr>
        <w:t>behavior regulation grounded in the Zurich Model of Social Motivation</w:t>
      </w:r>
      <w:r>
        <w:t xml:space="preserve">, explicitly mapping traits to security, arousal, and affiliation domains, and (iii) </w:t>
      </w:r>
      <w:r>
        <w:rPr>
          <w:b/>
        </w:rPr>
        <w:t>structured LLM-based evaluation validated against PhD-level expert judgment</w:t>
      </w:r>
      <w:r>
        <w:t>. Implemented using GPT-4 and the PROMISE orchestration system [7]—which ensures deterministic prompt control and traceable state transitions—the framework performs turn-by-turn personality inference and theory-guided behavioral adaptation throughout multi-turn conversations.</w:t>
      </w:r>
    </w:p>
    <w:p>
      <w:r>
        <w:t xml:space="preserve">This controlled simulation study tests whether real-time personality-adaptive regulation produces measurable improvements </w:t>
      </w:r>
      <w:r>
        <w:rPr>
          <w:b/>
        </w:rPr>
        <w:t>in AI-to-AI simulation</w:t>
      </w:r>
      <w:r>
        <w:t xml:space="preserve"> compared to non-adaptive baselines across boundary-condition personality profiles. This design provides precise experimental control for quantifying personalization effects, establishes a reproducible methodological testbed for personality-adaptive agents, and establishes </w:t>
      </w:r>
      <w:r>
        <w:rPr>
          <w:b/>
        </w:rPr>
        <w:t>proof-of-concept for the proposed architecture</w:t>
      </w:r>
      <w:r>
        <w:t xml:space="preserve">, </w:t>
      </w:r>
      <w:r>
        <w:rPr>
          <w:b/>
        </w:rPr>
        <w:t>validating the implementation approach</w:t>
      </w:r>
      <w:r>
        <w:t xml:space="preserve"> as a foundation for future human subject research toward safe, effective AI-augmented mental health interventions.</w:t>
      </w:r>
    </w:p>
    <w:p>
      <w:pPr>
        <w:pStyle w:val="Heading1"/>
      </w:pPr>
      <w:r>
        <w:t>2. Related Work</w:t>
      </w:r>
    </w:p>
    <w:p>
      <w:r>
        <w:t>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p>
      <w:pPr>
        <w:pStyle w:val="Heading2"/>
      </w:pPr>
      <w:r>
        <w:t>2.1. Affective Computing and Emotion Recognition</w:t>
      </w:r>
    </w:p>
    <w:p>
      <w:r>
        <w:t>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p>
      <w:pPr>
        <w:pStyle w:val="Heading2"/>
      </w:pPr>
      <w:r>
        <w:t>2.2. Large Language Models in Mental Health</w:t>
      </w:r>
    </w:p>
    <w:p>
      <w:r>
        <w:t>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p>
      <w:pPr>
        <w:pStyle w:val="Heading2"/>
      </w:pPr>
      <w:r>
        <w:t>2.3. AI Companions and Digital Interventions</w:t>
      </w:r>
    </w:p>
    <w:p>
      <w: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r>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pPr>
        <w:pStyle w:val="Heading2"/>
      </w:pPr>
      <w:r>
        <w:t>2.4. Personality-Aware Dialogue Systems</w:t>
      </w:r>
    </w:p>
    <w:p>
      <w: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r>
        <w:t>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p>
      <w:pPr>
        <w:pStyle w:val="Heading2"/>
      </w:pPr>
      <w:r>
        <w:t>2.5. Theoretical Foundations in Social Motivation</w:t>
      </w:r>
    </w:p>
    <w:p>
      <w:r>
        <w:t>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p>
      <w:pPr>
        <w:pStyle w:val="Heading2"/>
      </w:pPr>
      <w:r>
        <w:t>2.6. Challenges in Evaluating LLM-Based Interventions</w:t>
      </w:r>
    </w:p>
    <w:p>
      <w:r>
        <w:t>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p>
      <w:pPr>
        <w:pStyle w:val="Heading2"/>
      </w:pPr>
      <w:r>
        <w:t>2.7. Synthesis of Gaps and Study Contributions</w:t>
      </w:r>
    </w:p>
    <w:p>
      <w:r>
        <w:t>Our systematic review reveals three critical gaps addressed through a novel personality-adaptive framework integrated within the PROMISE orchestration system [7]:</w:t>
      </w:r>
    </w:p>
    <w:p>
      <w:r>
        <w:t xml:space="preserve">1.  </w:t>
      </w:r>
      <w:r>
        <w:rPr>
          <w:b/>
        </w:rPr>
        <w:t>Static vs. Dynamic Modeling Gap</w:t>
      </w:r>
      <w:r>
        <w:t>: Existing systems predominantly rely on static personality profiles initialized before interaction, failing to capture dynamic trait inference.</w:t>
      </w:r>
    </w:p>
    <w:p>
      <w:r>
        <w:rPr>
          <w:i/>
        </w:rPr>
        <w:t xml:space="preserve">   </w:t>
      </w:r>
      <w:r>
        <w:rPr>
          <w:i/>
        </w:rPr>
        <w:t>Our Contribution</w:t>
      </w:r>
      <w:r>
        <w:t>*: We implement dynamic personality modeling as continuous trait inference, updating Big Five estimates based on linguistic cues throughout interaction, mirroring human social cognition and allowing refined understanding as conversational evidence accumulates.</w:t>
      </w:r>
    </w:p>
    <w:p>
      <w:r>
        <w:t xml:space="preserve">2.  </w:t>
      </w:r>
      <w:r>
        <w:rPr>
          <w:b/>
        </w:rPr>
        <w:t>Theoretical Gap</w:t>
      </w:r>
      <w:r>
        <w:t>: Current approaches lack deep cognitive-motivational grounding, often mapping traits to surface-level linguistic style rather than underlying motivational systems.</w:t>
      </w:r>
    </w:p>
    <w:p>
      <w:r>
        <w:rPr>
          <w:i/>
        </w:rPr>
        <w:t xml:space="preserve">   </w:t>
      </w:r>
      <w:r>
        <w:rPr>
          <w:i/>
        </w:rPr>
        <w:t>Our Contribution</w:t>
      </w:r>
      <w:r>
        <w:t>*: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r>
        <w:t xml:space="preserve">3.  </w:t>
      </w:r>
      <w:r>
        <w:rPr>
          <w:b/>
        </w:rPr>
        <w:t>Methodological Gap</w:t>
      </w:r>
      <w:r>
        <w:t>: Model-driven orchestration frameworks like PROMISE [7] provide technical infrastructure for controlling LLM behavior, but lack reproducible, theoretically grounded implementations integrating personality psychology with rigorous expert-validated evaluation.</w:t>
      </w:r>
    </w:p>
    <w:p>
      <w:r>
        <w:rPr>
          <w:i/>
        </w:rPr>
        <w:t xml:space="preserve">   </w:t>
      </w:r>
      <w:r>
        <w:rPr>
          <w:i/>
        </w:rPr>
        <w:t>Our Contribution</w:t>
      </w:r>
      <w:r>
        <w:t>*: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κ = 0.89), providing a methodological template bridging orchestration frameworks, personality theory, and empirical evaluation.</w:t>
      </w:r>
    </w:p>
    <w:p>
      <w:r>
        <w:rPr>
          <w:b/>
        </w:rPr>
        <w:t>Positioning Relative to Prior Work</w:t>
      </w:r>
      <w:r>
        <w:t xml:space="preserve">: While existing personality-aware systems (e.g., Mairesse &amp; Walker [6], Zhou et al. [30]) rely on static profile initialization and ad-hoc adaptation rules, our framework uniquely integrates three components absent from prior work: (1) </w:t>
      </w:r>
      <w:r>
        <w:rPr>
          <w:b/>
        </w:rPr>
        <w:t>dynamic</w:t>
      </w:r>
      <w:r>
        <w:t xml:space="preserve"> turn-by-turn trait inference with cumulative evidence accumulation, (2) </w:t>
      </w:r>
      <w:r>
        <w:rPr>
          <w:b/>
        </w:rPr>
        <w:t>theory-driven</w:t>
      </w:r>
      <w:r>
        <w:t xml:space="preserve"> Zurich Model regulation mapping traits to motivational domains rather than surface linguistic features, and (3) </w:t>
      </w:r>
      <w:r>
        <w:rPr>
          <w:b/>
        </w:rPr>
        <w:t>validated</w:t>
      </w:r>
      <w:r>
        <w:t xml:space="preserve"> 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p>
      <w:pPr>
        <w:pStyle w:val="Heading1"/>
      </w:pPr>
      <w:r>
        <w:t>3. Materials and Methods</w:t>
      </w:r>
    </w:p>
    <w:p>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r>
        <w:t>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p>
      <w:pPr>
        <w:pStyle w:val="Heading2"/>
      </w:pPr>
      <w:r>
        <w:t>3.1. Overview and Research Objectives</w:t>
      </w:r>
    </w:p>
    <w:p>
      <w:pPr>
        <w:pStyle w:val="Heading3"/>
      </w:pPr>
      <w:r>
        <w:t>3.1.1. Study Aims</w:t>
      </w:r>
    </w:p>
    <w:p>
      <w:r>
        <w:t>This study addresses three empirical questions corresponding to identified gaps:</w:t>
      </w:r>
    </w:p>
    <w:p>
      <w:r>
        <w:t xml:space="preserve">1. </w:t>
      </w:r>
      <w:r>
        <w:rPr>
          <w:b/>
        </w:rPr>
        <w:t>Detection Accuracy</w:t>
      </w:r>
      <w:r>
        <w:t>: Can stable personality traits be accurately inferred from conversational cues in real time within multi-turn interactions?</w:t>
      </w:r>
    </w:p>
    <w:p>
      <w:r>
        <w:t xml:space="preserve">2. </w:t>
      </w:r>
      <w:r>
        <w:rPr>
          <w:b/>
        </w:rPr>
        <w:t>Regulation Effectiveness</w:t>
      </w:r>
      <w:r>
        <w:t>: Does theory-driven personality-adaptive regulation produce measurable improvements addressing personality-specific needs beyond generic responses?</w:t>
      </w:r>
    </w:p>
    <w:p>
      <w:r>
        <w:t xml:space="preserve">3. </w:t>
      </w:r>
      <w:r>
        <w:rPr>
          <w:b/>
        </w:rPr>
        <w:t>Evaluation Validity</w:t>
      </w:r>
      <w:r>
        <w:t>: Do LLM-based evaluations align with independent human expert judgments, establishing a scalable yet reliable evaluation approach?</w:t>
      </w:r>
    </w:p>
    <w:p>
      <w:pPr>
        <w:pStyle w:val="Heading3"/>
      </w:pPr>
      <w:r>
        <w:t>3.1.2. Experimental Design</w:t>
      </w:r>
    </w:p>
    <w:p>
      <w: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r>
        <w:t>![](complete_submission/Figure_01_Study_Design.png)</w:t>
      </w:r>
    </w:p>
    <w:p>
      <w:r>
        <w:rPr>
          <w:b/>
        </w:rPr>
        <w:t>Figure 1.</w:t>
      </w:r>
      <w:r>
        <w:t xml:space="preserve"> Study workflow integrating system configuration, dialogue generation, dual evaluation (LLM + human experts), and statistical analysis.</w:t>
      </w:r>
    </w:p>
    <w:p>
      <w:pPr>
        <w:pStyle w:val="Heading3"/>
      </w:pPr>
      <w:r>
        <w:t>3.1.3. Sample Size Considerations</w:t>
      </w:r>
    </w:p>
    <w:p>
      <w:r>
        <w:rPr>
          <w:b/>
        </w:rPr>
        <w:t>Critical Clarification</w:t>
      </w:r>
      <w:r>
        <w:t xml:space="preserve">: The 20 agent instances (n = 10 per condition) represent </w:t>
      </w:r>
      <w:r>
        <w:rPr>
          <w:b/>
        </w:rPr>
        <w:t>distinct GPT-4 instantiations with different system prompts</w:t>
      </w:r>
      <w:r>
        <w:t xml:space="preserve">, not human subjects. While we refer to "n = 10 per group" for statistical notation consistency, </w:t>
      </w:r>
      <w:r>
        <w:rPr>
          <w:b/>
        </w:rPr>
        <w:t>AI instances are fundamentally not comparable to human participants</w:t>
      </w:r>
      <w:r>
        <w:t xml:space="preserve"> due to deterministic behavior, lack of genuine psychological variation, and absence of real-world contextual factors. This sample size was selected for </w:t>
      </w:r>
      <w:r>
        <w:rPr>
          <w:b/>
        </w:rPr>
        <w:t>architectural validation purposes</w:t>
      </w:r>
      <w:r>
        <w:t xml:space="preserve"> based on: (1) deterministic simulation with minimal stochastic variation, (2) computational cost constraints appropriate for proof-of-concept testing, and (3) focus on demonstrating implementation fidelity rather than estimating population-level effects [33].</w:t>
      </w:r>
    </w:p>
    <w:p>
      <w:r>
        <w:rPr>
          <w:b/>
        </w:rPr>
        <w:t>Note on Statistical Power</w:t>
      </w:r>
      <w:r>
        <w:t>: Traditional power analysis is inappropriate for this study because: (1) simulations are largely deterministic rather than stochastic, (2) observed ceiling effects (zero variance) violate power analysis assumptions, and (3) the goal is technical validation, not inferential generalization. While post-hoc calculations would yield power &gt; 0.99 for observed effect sizes (d = 4.58), this metric is meaningless in deterministic simulations and should not be interpreted as evidence of adequate statistical power for human studies.</w:t>
      </w:r>
    </w:p>
    <w:p>
      <w:r>
        <w:rPr>
          <w:b/>
        </w:rPr>
        <w:t>Human Subject Requirements</w:t>
      </w:r>
      <w:r>
        <w:t>: Future human validation will require substantially larger samples (minimum n = 50–100 per condition) following clinical trial standards [35,36] to account for genuine individual variability, attrition, diverse personality distributions, spontaneous communication patterns, and real-world contextual factors entirely absent from this simulation.</w:t>
      </w:r>
    </w:p>
    <w:p>
      <w:pPr>
        <w:pStyle w:val="Heading3"/>
      </w:pPr>
      <w:r>
        <w:t>3.1.4. Ethics and Transparency</w:t>
      </w:r>
    </w:p>
    <w:p>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r>
        <w:t>Future human subject studies will require full IRB approval, comprehensive informed consent explaining AI personality profiling and data usage, real-time safety monitoring with distress escalation pathways, and regular mental health professional oversight [38,39].</w:t>
      </w:r>
    </w:p>
    <w:p>
      <w:pPr>
        <w:pStyle w:val="Heading2"/>
      </w:pPr>
      <w:r>
        <w:t>3.2. Personality-Adaptive System Architecture</w:t>
      </w:r>
    </w:p>
    <w:p>
      <w:r>
        <w:t>Our framework implements a modular pipeline A = (D, R, E) consisting of a Detection Module (D) for real-time OCEAN trait inference, a Regulation Module (R) for Zurich Model-aligned behavior adaptation, and an Evaluation Module (E) for quality assessment (Figure 2).</w:t>
      </w:r>
    </w:p>
    <w:p>
      <w:r>
        <w:t xml:space="preserve">The architecture is built upon the PROMISE framework [7], which provides model-driven prompt orchestration through hierarchical state machine modeling. </w:t>
      </w:r>
      <w:r>
        <w:rPr>
          <w:b/>
        </w:rPr>
        <w:t>PROMISE serves as a reproducibility scaffold, ensuring deterministic prompt orchestration and traceable state transitions across experimental conditions.</w:t>
      </w:r>
      <w:r>
        <w:t xml:space="preserve"> 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r>
        <w:t>![](complete_submission/Figure_02_System_Architecture.png)</w:t>
      </w:r>
    </w:p>
    <w:p>
      <w:r>
        <w:rPr>
          <w:b/>
        </w:rPr>
        <w:t>Figure 2.</w:t>
      </w:r>
      <w:r>
        <w:t xml:space="preserve"> System architecture integrating personality detection (D-module), Zurich Model-aligned regulation (R-module), and evaluation (E-module). Arrows indicate data flow; dashed lines represent feedback loops for trait refinement.</w:t>
      </w:r>
    </w:p>
    <w:p>
      <w:pPr>
        <w:pStyle w:val="Heading3"/>
      </w:pPr>
      <w:r>
        <w:t>3.2.1. Design Principles</w:t>
      </w:r>
    </w:p>
    <w:p>
      <w:r>
        <w:t>The architecture follows three core principles [40,41]:</w:t>
      </w:r>
    </w:p>
    <w:p>
      <w:r>
        <w:t xml:space="preserve">(i) </w:t>
      </w:r>
      <w:r>
        <w:rPr>
          <w:b/>
        </w:rPr>
        <w:t>Separation of Concerns</w:t>
      </w:r>
      <w:r>
        <w:t>: Independent modules with well-defined interfaces enable parallel development and isolated testing. Modules communicate through standardized data structures (JSON) containing personality vectors, regulation instructions, and evaluation scores.</w:t>
      </w:r>
    </w:p>
    <w:p>
      <w:r>
        <w:t xml:space="preserve">(ii) </w:t>
      </w:r>
      <w:r>
        <w:rPr>
          <w:b/>
        </w:rPr>
        <w:t>Scalability</w:t>
      </w:r>
      <w:r>
        <w:t>: New personality dimensions or regulation strategies can be added without modifying existing components. Trait-to-regulation mapping is externalized as configuration files, allowing non-technical experts to adjust behavioral adaptations.</w:t>
      </w:r>
    </w:p>
    <w:p>
      <w:r>
        <w:t xml:space="preserve">(iii) </w:t>
      </w:r>
      <w:r>
        <w:rPr>
          <w:b/>
        </w:rPr>
        <w:t>Traceability and Reproducibility</w:t>
      </w:r>
      <w:r>
        <w:t>: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p>
      <w:pPr>
        <w:pStyle w:val="Heading3"/>
      </w:pPr>
      <w:r>
        <w:t>3.2.2. Data Flow Pipeline</w:t>
      </w:r>
    </w:p>
    <w:p>
      <w: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r>
        <w:t>![](complete_submission/Figure_03_Data_Flow.png)</w:t>
      </w:r>
    </w:p>
    <w:p>
      <w:r>
        <w:rPr>
          <w:b/>
        </w:rPr>
        <w:t>Figure 3.</w:t>
      </w:r>
      <w:r>
        <w:t xml:space="preserve"> End-to-end data flow pipeline. State information persists across turns to enable cumulative personality modeling.</w:t>
      </w:r>
    </w:p>
    <w:p>
      <w:pPr>
        <w:pStyle w:val="Heading2"/>
      </w:pPr>
      <w:r>
        <w:t>3.3. Personality Detection Module</w:t>
      </w:r>
    </w:p>
    <w:p>
      <w:r>
        <w:t xml:space="preserve">The Detection Module performs real-time </w:t>
      </w:r>
      <w:r>
        <w:rPr>
          <w:b/>
        </w:rPr>
        <w:t>Big Five trait inference (personality detection)</w:t>
      </w:r>
      <w:r>
        <w:t xml:space="preserve"> by continuously monitoring and updating the user's OCEAN personality profile, incrementally adjusting estimation after each user input.</w:t>
      </w:r>
    </w:p>
    <w:p>
      <w:pPr>
        <w:pStyle w:val="Heading3"/>
      </w:pPr>
      <w:r>
        <w:t>3.3.1. Personality Representation Framework</w:t>
      </w:r>
    </w:p>
    <w:p>
      <w:r>
        <w:t>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r>
        <w:t xml:space="preserve">In this simulation, the personality vector functions as a </w:t>
      </w:r>
      <w:r>
        <w:rPr>
          <w:b/>
        </w:rPr>
        <w:t>reference target configuration</w:t>
      </w:r>
      <w:r>
        <w:t xml:space="preserve"> 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Trait</w:t>
            </w:r>
          </w:p>
        </w:tc>
        <w:tc>
          <w:tcPr>
            <w:tcW w:type="dxa" w:w="3307"/>
          </w:tcPr>
          <w:p>
            <w:r>
              <w:rPr>
                <w:rFonts w:ascii="Times New Roman" w:hAnsi="Times New Roman"/>
                <w:b/>
                <w:sz w:val="18"/>
              </w:rPr>
              <w:t>+1 (High)</w:t>
            </w:r>
          </w:p>
        </w:tc>
        <w:tc>
          <w:tcPr>
            <w:tcW w:type="dxa" w:w="3307"/>
          </w:tcPr>
          <w:p>
            <w:r>
              <w:rPr>
                <w:rFonts w:ascii="Times New Roman" w:hAnsi="Times New Roman"/>
                <w:b/>
                <w:sz w:val="18"/>
              </w:rPr>
              <w:t>−1 (Low)</w:t>
            </w:r>
          </w:p>
        </w:tc>
      </w:tr>
      <w:tr>
        <w:tc>
          <w:tcPr>
            <w:tcW w:type="dxa" w:w="3307"/>
          </w:tcPr>
          <w:p>
            <w:r>
              <w:rPr>
                <w:rFonts w:ascii="Times New Roman" w:hAnsi="Times New Roman"/>
                <w:sz w:val="18"/>
              </w:rPr>
              <w:t>Openness</w:t>
            </w:r>
          </w:p>
        </w:tc>
        <w:tc>
          <w:tcPr>
            <w:tcW w:type="dxa" w:w="3307"/>
          </w:tcPr>
          <w:p>
            <w:r>
              <w:rPr>
                <w:rFonts w:ascii="Times New Roman" w:hAnsi="Times New Roman"/>
                <w:sz w:val="18"/>
              </w:rPr>
              <w:t>Curious, imaginative, open to novelty</w:t>
            </w:r>
          </w:p>
        </w:tc>
        <w:tc>
          <w:tcPr>
            <w:tcW w:type="dxa" w:w="3307"/>
          </w:tcPr>
          <w:p>
            <w:r>
              <w:rPr>
                <w:rFonts w:ascii="Times New Roman" w:hAnsi="Times New Roman"/>
                <w:sz w:val="18"/>
              </w:rPr>
              <w:t>Prefers routine, resistant to new ideas</w:t>
            </w:r>
          </w:p>
        </w:tc>
      </w:tr>
      <w:tr>
        <w:tc>
          <w:tcPr>
            <w:tcW w:type="dxa" w:w="3307"/>
          </w:tcPr>
          <w:p>
            <w:r>
              <w:rPr>
                <w:rFonts w:ascii="Times New Roman" w:hAnsi="Times New Roman"/>
                <w:sz w:val="18"/>
              </w:rPr>
              <w:t>Conscientiousness</w:t>
            </w:r>
          </w:p>
        </w:tc>
        <w:tc>
          <w:tcPr>
            <w:tcW w:type="dxa" w:w="3307"/>
          </w:tcPr>
          <w:p>
            <w:r>
              <w:rPr>
                <w:rFonts w:ascii="Times New Roman" w:hAnsi="Times New Roman"/>
                <w:sz w:val="18"/>
              </w:rPr>
              <w:t>Organized, disciplined, structured</w:t>
            </w:r>
          </w:p>
        </w:tc>
        <w:tc>
          <w:tcPr>
            <w:tcW w:type="dxa" w:w="3307"/>
          </w:tcPr>
          <w:p>
            <w:r>
              <w:rPr>
                <w:rFonts w:ascii="Times New Roman" w:hAnsi="Times New Roman"/>
                <w:sz w:val="18"/>
              </w:rPr>
              <w:t>Disorganized, impulsive, spontaneous</w:t>
            </w:r>
          </w:p>
        </w:tc>
      </w:tr>
      <w:tr>
        <w:tc>
          <w:tcPr>
            <w:tcW w:type="dxa" w:w="3307"/>
          </w:tcPr>
          <w:p>
            <w:r>
              <w:rPr>
                <w:rFonts w:ascii="Times New Roman" w:hAnsi="Times New Roman"/>
                <w:sz w:val="18"/>
              </w:rPr>
              <w:t>Extraversion</w:t>
            </w:r>
          </w:p>
        </w:tc>
        <w:tc>
          <w:tcPr>
            <w:tcW w:type="dxa" w:w="3307"/>
          </w:tcPr>
          <w:p>
            <w:r>
              <w:rPr>
                <w:rFonts w:ascii="Times New Roman" w:hAnsi="Times New Roman"/>
                <w:sz w:val="18"/>
              </w:rPr>
              <w:t>Outgoing, energetic, assertive</w:t>
            </w:r>
          </w:p>
        </w:tc>
        <w:tc>
          <w:tcPr>
            <w:tcW w:type="dxa" w:w="3307"/>
          </w:tcPr>
          <w:p>
            <w:r>
              <w:rPr>
                <w:rFonts w:ascii="Times New Roman" w:hAnsi="Times New Roman"/>
                <w:sz w:val="18"/>
              </w:rPr>
              <w:t>Reserved, quiet, withdrawn</w:t>
            </w:r>
          </w:p>
        </w:tc>
      </w:tr>
      <w:tr>
        <w:tc>
          <w:tcPr>
            <w:tcW w:type="dxa" w:w="3307"/>
          </w:tcPr>
          <w:p>
            <w:r>
              <w:rPr>
                <w:rFonts w:ascii="Times New Roman" w:hAnsi="Times New Roman"/>
                <w:sz w:val="18"/>
              </w:rPr>
              <w:t>Agreeableness</w:t>
            </w:r>
          </w:p>
        </w:tc>
        <w:tc>
          <w:tcPr>
            <w:tcW w:type="dxa" w:w="3307"/>
          </w:tcPr>
          <w:p>
            <w:r>
              <w:rPr>
                <w:rFonts w:ascii="Times New Roman" w:hAnsi="Times New Roman"/>
                <w:sz w:val="18"/>
              </w:rPr>
              <w:t>Cooperative, empathetic, friendly</w:t>
            </w:r>
          </w:p>
        </w:tc>
        <w:tc>
          <w:tcPr>
            <w:tcW w:type="dxa" w:w="3307"/>
          </w:tcPr>
          <w:p>
            <w:r>
              <w:rPr>
                <w:rFonts w:ascii="Times New Roman" w:hAnsi="Times New Roman"/>
                <w:sz w:val="18"/>
              </w:rPr>
              <w:t>Critical, skeptical, confrontational</w:t>
            </w:r>
          </w:p>
        </w:tc>
      </w:tr>
      <w:tr>
        <w:tc>
          <w:tcPr>
            <w:tcW w:type="dxa" w:w="3307"/>
          </w:tcPr>
          <w:p>
            <w:r>
              <w:rPr>
                <w:rFonts w:ascii="Times New Roman" w:hAnsi="Times New Roman"/>
                <w:sz w:val="18"/>
              </w:rPr>
              <w:t>Neuroticism*</w:t>
            </w:r>
          </w:p>
        </w:tc>
        <w:tc>
          <w:tcPr>
            <w:tcW w:type="dxa" w:w="3307"/>
          </w:tcPr>
          <w:p>
            <w:r>
              <w:rPr>
                <w:rFonts w:ascii="Times New Roman" w:hAnsi="Times New Roman"/>
                <w:sz w:val="18"/>
              </w:rPr>
              <w:t>Calm, emotionally stable, resilient</w:t>
            </w:r>
          </w:p>
        </w:tc>
        <w:tc>
          <w:tcPr>
            <w:tcW w:type="dxa" w:w="3307"/>
          </w:tcPr>
          <w:p>
            <w:r>
              <w:rPr>
                <w:rFonts w:ascii="Times New Roman" w:hAnsi="Times New Roman"/>
                <w:sz w:val="18"/>
              </w:rPr>
              <w:t>Anxious, emotionally sensitive, insecure</w:t>
            </w:r>
          </w:p>
        </w:tc>
      </w:tr>
    </w:tbl>
    <w:p/>
    <w:p>
      <w:r>
        <w:t>*Note: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r>
        <w:rPr>
          <w:b/>
        </w:rPr>
        <w:t>Big Five personality trait operationalization. Behavioral descriptors follow Costa and McCrae's NEO-PI-R framework [3].</w:t>
      </w:r>
    </w:p>
    <w:p>
      <w:pPr>
        <w:pStyle w:val="Heading3"/>
      </w:pPr>
      <w:r>
        <w:t>3.3.2. Detection Algorithm</w:t>
      </w:r>
    </w:p>
    <w:p>
      <w:r>
        <w:t>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r>
        <w:t>![](complete_submission/Figure_04_Detection_Process.png)</w:t>
      </w:r>
    </w:p>
    <w:p>
      <w:r>
        <w:rPr>
          <w:b/>
        </w:rPr>
        <w:t>Figure 4.</w:t>
      </w:r>
      <w:r>
        <w:t xml:space="preserve"> Personality detection pipeline implementing turn-by-turn Big Five inference. Cumulative approach integrates evidence across all prior turns; confidence thresholds prevent premature classification.</w:t>
      </w:r>
    </w:p>
    <w:p>
      <w:pPr>
        <w:pStyle w:val="Heading3"/>
      </w:pPr>
      <w:r>
        <w:t>3.3.3. PROMISE Framework Integration</w:t>
      </w:r>
    </w:p>
    <w:p>
      <w:r>
        <w:t xml:space="preserve">The detection module is implemented using PROMISE [7], specifically designed for complex conversational interactions through model-driven prompt orchestration with hierarchical state machine modeling. </w:t>
      </w:r>
      <w:r>
        <w:rPr>
          <w:b/>
        </w:rPr>
        <w:t>Critically, PROMISE serves as a reproducibility scaffold, ensuring deterministic prompt orchestration and traceable state transitions across experimental conditions</w:t>
      </w:r>
      <w:r>
        <w:t>—enabling rigorous comparison between regulated and baseline systems by guaranteeing that behavioral differences reflect adaptive logic rather than implementation inconsistencies.</w:t>
      </w:r>
    </w:p>
    <w:p>
      <w:r>
        <w:rPr>
          <w:b/>
        </w:rPr>
        <w:t>State Machine Architecture</w:t>
      </w:r>
      <w:r>
        <w:t>: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r>
        <w:rPr>
          <w:b/>
        </w:rPr>
        <w:t>Dynamic Prompt Orchestration</w:t>
      </w:r>
      <w:r>
        <w:t>: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r>
        <w:rPr>
          <w:b/>
        </w:rPr>
        <w:t>State Transitions and Actuators</w:t>
      </w:r>
      <w:r>
        <w:t>: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p>
      <w:pPr>
        <w:pStyle w:val="Heading3"/>
      </w:pPr>
      <w:r>
        <w:t>3.3.4. Technical Implementation</w:t>
      </w:r>
    </w:p>
    <w:p>
      <w: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r>
        <w:t>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r>
        <w:t>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p>
      <w:pPr>
        <w:pStyle w:val="Heading3"/>
      </w:pPr>
      <w:r>
        <w:t>3.3.5. Processing Pipeline</w:t>
      </w:r>
    </w:p>
    <w:p>
      <w:r>
        <w:t>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(τ = 0.7). (7) Actuator Triggering: State changes trigger PROMISE actuators propagating updates to regulation module. (8) Downstream Transmission: Transmits updated vector and confidence scores.</w:t>
      </w:r>
    </w:p>
    <w:p>
      <w:r>
        <w:rPr>
          <w:b/>
        </w:rPr>
        <w:t>Execution Timing</w:t>
      </w:r>
      <w:r>
        <w:t>: Average processing time: 2.3 - 0.8 seconds (measured across 120 turns), with parallel trait detection reducing latency by ~60% versus sequential processing.</w:t>
      </w:r>
    </w:p>
    <w:p>
      <w:pPr>
        <w:pStyle w:val="Heading2"/>
      </w:pPr>
      <w:r>
        <w:t>3.4. Behavior Regulation Module</w:t>
      </w:r>
    </w:p>
    <w:p>
      <w:r>
        <w:t>The Regulation Module translates psychological information from continuously inferred personality traits into theoretically grounded behavioral adaptations.</w:t>
      </w:r>
    </w:p>
    <w:p>
      <w:pPr>
        <w:pStyle w:val="Heading3"/>
      </w:pPr>
      <w:r>
        <w:t>3.4.1. Purpose and Theoretical Foundation</w:t>
      </w:r>
    </w:p>
    <w:p>
      <w:r>
        <w:t>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r>
        <w:t>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p>
      <w:pPr>
        <w:pStyle w:val="Heading3"/>
      </w:pPr>
      <w:r>
        <w:t>3.4.2. Trait-to-Domain Mapping</w:t>
      </w:r>
    </w:p>
    <w:p>
      <w:r>
        <w:t>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r>
        <w:t>![](complete_submission/Figure_05_Theoretical_Framework.png)</w:t>
      </w:r>
    </w:p>
    <w:p>
      <w:r>
        <w:rPr>
          <w:b/>
        </w:rPr>
        <w:t>Figure 5.</w:t>
      </w:r>
      <w:r>
        <w:t xml:space="preserve"> Mapping from Big Five traits to Zurich Model motivational domains to conversational behavior effects.</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Trait</w:t>
            </w:r>
          </w:p>
        </w:tc>
        <w:tc>
          <w:tcPr>
            <w:tcW w:type="dxa" w:w="3307"/>
          </w:tcPr>
          <w:p>
            <w:r>
              <w:rPr>
                <w:rFonts w:ascii="Times New Roman" w:hAnsi="Times New Roman"/>
                <w:b/>
                <w:sz w:val="18"/>
              </w:rPr>
              <w:t>+1 (High)</w:t>
            </w:r>
          </w:p>
        </w:tc>
        <w:tc>
          <w:tcPr>
            <w:tcW w:type="dxa" w:w="3307"/>
          </w:tcPr>
          <w:p>
            <w:r>
              <w:rPr>
                <w:rFonts w:ascii="Times New Roman" w:hAnsi="Times New Roman"/>
                <w:b/>
                <w:sz w:val="18"/>
              </w:rPr>
              <w:t>−1 (Low)</w:t>
            </w:r>
          </w:p>
        </w:tc>
      </w:tr>
      <w:tr>
        <w:tc>
          <w:tcPr>
            <w:tcW w:type="dxa" w:w="3307"/>
          </w:tcPr>
          <w:p>
            <w:r>
              <w:rPr>
                <w:rFonts w:ascii="Times New Roman" w:hAnsi="Times New Roman"/>
                <w:sz w:val="18"/>
              </w:rPr>
              <w:t>Openness (O)</w:t>
            </w:r>
          </w:p>
        </w:tc>
        <w:tc>
          <w:tcPr>
            <w:tcW w:type="dxa" w:w="3307"/>
          </w:tcPr>
          <w:p>
            <w:r>
              <w:rPr>
                <w:rFonts w:ascii="Times New Roman" w:hAnsi="Times New Roman"/>
                <w:sz w:val="18"/>
              </w:rPr>
              <w:t>Invite exploration and novelty</w:t>
            </w:r>
          </w:p>
        </w:tc>
        <w:tc>
          <w:tcPr>
            <w:tcW w:type="dxa" w:w="3307"/>
          </w:tcPr>
          <w:p>
            <w:r>
              <w:rPr>
                <w:rFonts w:ascii="Times New Roman" w:hAnsi="Times New Roman"/>
                <w:sz w:val="18"/>
              </w:rPr>
              <w:t>Focus on familiar topics; reduce novelty</w:t>
            </w:r>
          </w:p>
        </w:tc>
      </w:tr>
      <w:tr>
        <w:tc>
          <w:tcPr>
            <w:tcW w:type="dxa" w:w="3307"/>
          </w:tcPr>
          <w:p>
            <w:r>
              <w:rPr>
                <w:rFonts w:ascii="Times New Roman" w:hAnsi="Times New Roman"/>
                <w:sz w:val="18"/>
              </w:rPr>
              <w:t>Conscientiousness (C)</w:t>
            </w:r>
          </w:p>
        </w:tc>
        <w:tc>
          <w:tcPr>
            <w:tcW w:type="dxa" w:w="3307"/>
          </w:tcPr>
          <w:p>
            <w:r>
              <w:rPr>
                <w:rFonts w:ascii="Times New Roman" w:hAnsi="Times New Roman"/>
                <w:sz w:val="18"/>
              </w:rPr>
              <w:t>Provide organized, structured guidance</w:t>
            </w:r>
          </w:p>
        </w:tc>
        <w:tc>
          <w:tcPr>
            <w:tcW w:type="dxa" w:w="3307"/>
          </w:tcPr>
          <w:p>
            <w:r>
              <w:rPr>
                <w:rFonts w:ascii="Times New Roman" w:hAnsi="Times New Roman"/>
                <w:sz w:val="18"/>
              </w:rPr>
              <w:t>Flexible, relaxed, spontaneous demeanor</w:t>
            </w:r>
          </w:p>
        </w:tc>
      </w:tr>
      <w:tr>
        <w:tc>
          <w:tcPr>
            <w:tcW w:type="dxa" w:w="3307"/>
          </w:tcPr>
          <w:p>
            <w:r>
              <w:rPr>
                <w:rFonts w:ascii="Times New Roman" w:hAnsi="Times New Roman"/>
                <w:sz w:val="18"/>
              </w:rPr>
              <w:t>Extraversion (E)</w:t>
            </w:r>
          </w:p>
        </w:tc>
        <w:tc>
          <w:tcPr>
            <w:tcW w:type="dxa" w:w="3307"/>
          </w:tcPr>
          <w:p>
            <w:r>
              <w:rPr>
                <w:rFonts w:ascii="Times New Roman" w:hAnsi="Times New Roman"/>
                <w:sz w:val="18"/>
              </w:rPr>
              <w:t>Energetic, sociable tone</w:t>
            </w:r>
          </w:p>
        </w:tc>
        <w:tc>
          <w:tcPr>
            <w:tcW w:type="dxa" w:w="3307"/>
          </w:tcPr>
          <w:p>
            <w:r>
              <w:rPr>
                <w:rFonts w:ascii="Times New Roman" w:hAnsi="Times New Roman"/>
                <w:sz w:val="18"/>
              </w:rPr>
              <w:t>Calm, low-key style with reflective space</w:t>
            </w:r>
          </w:p>
        </w:tc>
      </w:tr>
      <w:tr>
        <w:tc>
          <w:tcPr>
            <w:tcW w:type="dxa" w:w="3307"/>
          </w:tcPr>
          <w:p>
            <w:r>
              <w:rPr>
                <w:rFonts w:ascii="Times New Roman" w:hAnsi="Times New Roman"/>
                <w:sz w:val="18"/>
              </w:rPr>
              <w:t>Agreeableness (A)</w:t>
            </w:r>
          </w:p>
        </w:tc>
        <w:tc>
          <w:tcPr>
            <w:tcW w:type="dxa" w:w="3307"/>
          </w:tcPr>
          <w:p>
            <w:r>
              <w:rPr>
                <w:rFonts w:ascii="Times New Roman" w:hAnsi="Times New Roman"/>
                <w:sz w:val="18"/>
              </w:rPr>
              <w:t>Warmth, empathy, collaboration</w:t>
            </w:r>
          </w:p>
        </w:tc>
        <w:tc>
          <w:tcPr>
            <w:tcW w:type="dxa" w:w="3307"/>
          </w:tcPr>
          <w:p>
            <w:r>
              <w:rPr>
                <w:rFonts w:ascii="Times New Roman" w:hAnsi="Times New Roman"/>
                <w:sz w:val="18"/>
              </w:rPr>
              <w:t>Neutral, matter-of-fact stance</w:t>
            </w:r>
          </w:p>
        </w:tc>
      </w:tr>
      <w:tr>
        <w:tc>
          <w:tcPr>
            <w:tcW w:type="dxa" w:w="3307"/>
          </w:tcPr>
          <w:p>
            <w:r>
              <w:rPr>
                <w:rFonts w:ascii="Times New Roman" w:hAnsi="Times New Roman"/>
                <w:sz w:val="18"/>
              </w:rPr>
              <w:t>Neuroticism (N)</w:t>
            </w:r>
          </w:p>
        </w:tc>
        <w:tc>
          <w:tcPr>
            <w:tcW w:type="dxa" w:w="3307"/>
          </w:tcPr>
          <w:p>
            <w:r>
              <w:rPr>
                <w:rFonts w:ascii="Times New Roman" w:hAnsi="Times New Roman"/>
                <w:sz w:val="18"/>
              </w:rPr>
              <w:t>Reassure stability and confidence</w:t>
            </w:r>
          </w:p>
        </w:tc>
        <w:tc>
          <w:tcPr>
            <w:tcW w:type="dxa" w:w="3307"/>
          </w:tcPr>
          <w:p>
            <w:r>
              <w:rPr>
                <w:rFonts w:ascii="Times New Roman" w:hAnsi="Times New Roman"/>
                <w:sz w:val="18"/>
              </w:rPr>
              <w:t>Offer extra comfort; acknowledge anxieties</w:t>
            </w:r>
          </w:p>
        </w:tc>
      </w:tr>
    </w:tbl>
    <w:p/>
    <w:p>
      <w:r>
        <w:rPr>
          <w:b/>
        </w:rPr>
        <w:t>Behavioral Adjustment Strategies grounded in Zurich Model motivational domains.</w:t>
      </w:r>
    </w:p>
    <w:p>
      <w:pPr>
        <w:pStyle w:val="Heading3"/>
      </w:pPr>
      <w:r>
        <w:t>3.4.3. Dynamic Prompt Construction</w:t>
      </w:r>
    </w:p>
    <w:p>
      <w:r>
        <w:t>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r>
        <w:t>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r>
        <w:t>![](complete_submission/Figure_06_Regulation_System.png)</w:t>
      </w:r>
    </w:p>
    <w:p>
      <w:r>
        <w:rPr>
          <w:b/>
        </w:rPr>
        <w:t>Figure 6.</w:t>
      </w:r>
      <w:r>
        <w:t xml:space="preserve"> Regulation workflow: map detected traits to motivational needs, select trait-specific prompts, harmonize conflicts using domain priorities, assemble coherent regulation instruction.</w:t>
      </w:r>
    </w:p>
    <w:p>
      <w:pPr>
        <w:pStyle w:val="Heading2"/>
      </w:pPr>
      <w:r>
        <w:t>3.5. Experimental Materials and Procedure</w:t>
      </w:r>
    </w:p>
    <w:p>
      <w:pPr>
        <w:pStyle w:val="Heading3"/>
      </w:pPr>
      <w:r>
        <w:t>3.5.1. Personality Profile Simulation</w:t>
      </w:r>
    </w:p>
    <w:p>
      <w:r>
        <w:t>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r>
        <w:t>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r>
        <w:t xml:space="preserve">Detection and regulation performance are evaluated against these synthetic reference profiles as ground truth </w:t>
      </w:r>
      <w:r>
        <w:rPr>
          <w:b/>
        </w:rPr>
        <w:t>within the simulation environment</w:t>
      </w:r>
      <w:r>
        <w:t>, enabling precise technical validation of the PROMISE-orchestrated modules under maximal-contrast conditions. Profiles were encoded into GPT-4 system prompts consistently exhibiting target trait levels across turns.</w:t>
      </w:r>
    </w:p>
    <w:p>
      <w:pPr>
        <w:pStyle w:val="Heading3"/>
      </w:pPr>
      <w:r>
        <w:t>3.5.2. Agent Configuration</w:t>
      </w:r>
    </w:p>
    <w:p>
      <w: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p>
      <w:pPr>
        <w:pStyle w:val="Heading3"/>
      </w:pPr>
      <w:r>
        <w:t>3.5.3. Dialogue Structure and Data Collection</w:t>
      </w:r>
    </w:p>
    <w:p>
      <w:r>
        <w:t>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r>
        <w:t>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r>
        <w:t>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p>
      <w:pPr>
        <w:pStyle w:val="Heading2"/>
      </w:pPr>
      <w:r>
        <w:t>3.6. Evaluation Procedure</w:t>
      </w:r>
    </w:p>
    <w:p>
      <w:pPr>
        <w:pStyle w:val="Heading3"/>
      </w:pPr>
      <w:r>
        <w:t>3.6.1. Evaluation Criteria and Scoring Framework</w:t>
      </w:r>
    </w:p>
    <w:p>
      <w:r>
        <w:t>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r>
        <w:t>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r>
        <w:t>![](complete_submission/Figure_07_Evaluation_Framework.png)</w:t>
      </w:r>
    </w:p>
    <w:p>
      <w:r>
        <w:rPr>
          <w:b/>
        </w:rPr>
        <w:t>Figure 7.</w:t>
      </w:r>
      <w:r>
        <w:t xml:space="preserve"> Evaluation framework and scoring pipeline. Trinary scoring (0/1/2) captures partial successes while maintaining reliability.</w:t>
      </w:r>
    </w:p>
    <w:p>
      <w:pPr>
        <w:pStyle w:val="Heading3"/>
      </w:pPr>
      <w:r>
        <w:t>3.6.2. LLM-Based Evaluator System</w:t>
      </w:r>
    </w:p>
    <w:p>
      <w:r>
        <w:t>A specialized Evaluator GPT-4 instance was developed using custom-designed prompts for each criterion, following the "LLM-as-judge" paradigm [57,58]. Recent work demonstrates that structured LLM evaluation can correlate with human judgments [25], though concerns about circular validation (AI evaluating AI) necessitate rigorous human expert benchmarking [5].</w:t>
      </w:r>
    </w:p>
    <w:p>
      <w:r>
        <w:t>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p>
      <w:pPr>
        <w:pStyle w:val="Heading3"/>
      </w:pPr>
      <w:r>
        <w:t>3.6.3. Human Expert Validation Protocol</w:t>
      </w:r>
    </w:p>
    <w:p>
      <w:r>
        <w:t>To address "AI-evaluating-AI" 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r>
        <w:t>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p>
      <w:pPr>
        <w:pStyle w:val="Heading3"/>
      </w:pPr>
      <w:r>
        <w:t>3.6.4. Validation Results and Agreement Analysis</w:t>
      </w:r>
    </w:p>
    <w:p>
      <w:r>
        <w:t>Inter-rater reliability between human experts yielded strong agreement (Krippendorff's α = 0.82, 95% CI: 0.76–0.88), exceeding the α &gt; 0.80 threshold for acceptable agreement in clinical research [11]. Agreement between Evaluator GPT and consensus human ratings was excellent (Cohen's κ = 0.89, 95% CI: 0.84–0.94), indicating LLM evaluator aligned closely with independent expert judgment.</w:t>
      </w:r>
    </w:p>
    <w:p>
      <w:r>
        <w:t>Criterion-specific analysis revealed consistent agreement across dimensions: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p>
      <w:pPr>
        <w:pStyle w:val="Heading2"/>
      </w:pPr>
      <w:r>
        <w:t>3.7. Statistical Analysis</w:t>
      </w:r>
    </w:p>
    <w:p>
      <w:pPr>
        <w:pStyle w:val="Heading3"/>
      </w:pPr>
      <w:r>
        <w:t>3.7.1. Primary and Secondary Outcomes</w:t>
      </w:r>
    </w:p>
    <w:p>
      <w:r>
        <w:t>Primary outcome was performance on the "Personality Needs Addressed" 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p>
      <w:pPr>
        <w:pStyle w:val="Heading3"/>
      </w:pPr>
      <w:r>
        <w:t>3.7.2. Effect Size Calculation</w:t>
      </w:r>
    </w:p>
    <w:p>
      <w:r>
        <w:t>We calculated Cohen's d for between-group comparisons using pooled standard deviation:</w:t>
      </w:r>
    </w:p>
    <w:p>
      <w:r>
        <w:t>$$d = \frac{M_1 - M_2}{\sqrt{\frac{SD_1^2 + SD_2^2}{2}}}$$</w:t>
      </w:r>
    </w:p>
    <w:p>
      <w:r>
        <w:t>where M1 and M2 represent mean scores for regulated and baseline conditions, and SD1 and SD2 represent standard deviations. Effect sizes were interpreted using conventional thresholds: small (d = 0.2), medium (d = 0.5), large (d = 0.8) [62]. Confidence intervals (95%) were calculated using bias-corrected bootstrap (10,000 iterations) in R [63].</w:t>
      </w:r>
    </w:p>
    <w:p>
      <w:pPr>
        <w:pStyle w:val="Heading3"/>
      </w:pPr>
      <w:r>
        <w:t>3.7.3. Statistical Testing</w:t>
      </w:r>
    </w:p>
    <w:p>
      <w:r>
        <w:t>Between-group differences were evaluated using two-tailed independent samples t-tests for normally distributed metrics and Mann-Whitney U tests for non-normally distributed metrics. Normality was assessed using Shapiro-Wilk tests (α = 0.05). Statistical significance was set at α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p>
      <w:pPr>
        <w:pStyle w:val="Heading3"/>
      </w:pPr>
      <w:r>
        <w:t>3.7.4. Inter-Rater Reliability</w:t>
      </w:r>
    </w:p>
    <w:p>
      <w:r>
        <w:t>Agreement between human expert raters was quantified using Krippendorff's α [11], appropriate for ordinal scales and robust to missing data. Agreement between LLM evaluator and consensus human ratings was quantified using Cohen's κ [65]. Confidence intervals (95%) were calculated using bias-corrected bootstrap (10,000 iterations). Reliability thresholds: α or κ &gt; 0.80 indicates acceptable agreement; &gt; 0.90 indicates excellent agreement [11,65].</w:t>
      </w:r>
    </w:p>
    <w:p>
      <w:pPr>
        <w:pStyle w:val="Heading3"/>
      </w:pPr>
      <w:r>
        <w:t>3.7.5. Post-Hoc Power Analysis</w:t>
      </w:r>
    </w:p>
    <w:p>
      <w:r>
        <w:t>Post-hoc power analysis used G*Power 3.1 [34] to confirm observed sample size provided adequate statistical power (1-β &gt; 0.80) for detecting observed effect sizes. For primary outcome (Personality Needs Addressed), the extremely large effect size (Cohen's d = 4.58) yielded power &gt; 0.99 at n = 10 per group, confirming robust detection capability despite modest sample size.</w:t>
      </w:r>
    </w:p>
    <w:p>
      <w:pPr>
        <w:pStyle w:val="Heading3"/>
      </w:pPr>
      <w:r>
        <w:t>3.7.6. Software and Computational Environment</w:t>
      </w:r>
    </w:p>
    <w:p>
      <w:r>
        <w:t>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p>
      <w:pPr>
        <w:pStyle w:val="Heading2"/>
      </w:pPr>
      <w:r>
        <w:t>3.8. Data Management and Reproducibility</w:t>
      </w:r>
    </w:p>
    <w:p>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r>
        <w:t>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r>
        <w:t>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p>
      <w:pPr>
        <w:pStyle w:val="Heading1"/>
      </w:pPr>
      <w:r>
        <w:t>4. Results</w:t>
      </w:r>
    </w:p>
    <w:p>
      <w:pPr>
        <w:pStyle w:val="Heading2"/>
      </w:pPr>
      <w:r>
        <w:t>4.1. Overview of Results</w:t>
      </w:r>
    </w:p>
    <w:p>
      <w:r>
        <w:t>This section presents empirical findings addressing the three research questions established in Section 3.1.1. Results are organized in three parts:</w:t>
      </w:r>
    </w:p>
    <w:p>
      <w:r>
        <w:rPr>
          <w:b/>
        </w:rPr>
        <w:t>Part 1: Technical Capability Assessment (Sections 4.2-4.3)</w:t>
      </w:r>
      <w:r>
        <w:t xml:space="preserve"> - Demonstrates that the system achieves core technical requirements: accurate personality detection and successful behavioral regulation implementation, establishing that PROMISE-based detection and Zurich Model-aligned regulation modules function as designed.</w:t>
      </w:r>
    </w:p>
    <w:p>
      <w:r>
        <w:rPr>
          <w:b/>
        </w:rPr>
        <w:t>Part 2: Comparative Effectiveness Analysis (Sections 4.4-4.6)</w:t>
      </w:r>
      <w:r>
        <w:t xml:space="preserve"> - Examines whether technical capabilities translate into measurable improvements in conversational quality by comparing personality-adaptive agents to non-adaptive baselines using the evaluation framework and statistical methods.</w:t>
      </w:r>
    </w:p>
    <w:p>
      <w:r>
        <w:rPr>
          <w:b/>
        </w:rPr>
        <w:t>Part 3: Supplementary Robustness Analyses (Sections 4.7-4.11)</w:t>
      </w:r>
      <w:r>
        <w:t xml:space="preserve"> - Provides supplementary analyses examining effect sizes, weighted scoring, statistical robustness, and qualitative examples to ensure confidence in findings and illustrate how theoretical principles manifest in practice.</w:t>
      </w:r>
    </w:p>
    <w:p>
      <w:r>
        <w:rPr>
          <w:b/>
        </w:rPr>
        <w:t>Key Finding</w:t>
      </w:r>
      <w:r>
        <w:t xml:space="preserve">: Regulated agents achieved </w:t>
      </w:r>
      <w:r>
        <w:rPr>
          <w:b/>
        </w:rPr>
        <w:t>complete implementation fidelity</w:t>
      </w:r>
      <w:r>
        <w:t xml:space="preserve"> (detection: 100%, 58/58; regulation: 100%, 59/59) </w:t>
      </w:r>
      <w:r>
        <w:rPr>
          <w:b/>
        </w:rPr>
        <w:t>when tested against pre-specified simulation profiles, validating that the PROMISE-orchestrated architecture correctly executes the designed detection and regulation logic</w:t>
      </w:r>
      <w:r>
        <w:t xml:space="preserve">. This </w:t>
      </w:r>
      <w:r>
        <w:rPr>
          <w:b/>
        </w:rPr>
        <w:t>necessary first step</w:t>
      </w:r>
      <w:r>
        <w:t xml:space="preserve"> confirms the system operates as intended under controlled conditions </w:t>
      </w:r>
      <w:r>
        <w:rPr>
          <w:b/>
        </w:rPr>
        <w:t>before progressing to human validation</w:t>
      </w:r>
      <w:r>
        <w:t>.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p>
      <w:pPr>
        <w:pStyle w:val="Heading2"/>
      </w:pPr>
      <w:r>
        <w:t>4.2. Data Quality and Sample Distribution</w:t>
      </w:r>
    </w:p>
    <w:p>
      <w:r>
        <w:t>The evaluation dataset comprised 59 regulated agent interactions and 58-60 baseline agent interactions (varying by metric) across two extreme personality profiles (Type A: all traits +1; Type B: all traits −1). Figure 8 presents sample distribution across conditions and personality types.</w:t>
      </w:r>
    </w:p>
    <w:p>
      <w:r>
        <w:t>![](complete_submission/Figure_08_Sample_Distribution.png)</w:t>
      </w:r>
    </w:p>
    <w:p>
      <w:r>
        <w:rPr>
          <w:b/>
        </w:rPr>
        <w:t>Figure 8.</w:t>
      </w:r>
      <w:r>
        <w:t xml:space="preserve"> Sample distribution across experimental conditions. Total n=120 dialogue turns across 20 agent instances.</w:t>
      </w:r>
    </w:p>
    <w:p>
      <w:r>
        <w:t>Data quality assessment revealed minimal missing data (&lt;2%) across evaluation metrics, with no systematic patterns of missingness by condition or personality type.</w:t>
      </w:r>
    </w:p>
    <w:p>
      <w:pPr>
        <w:pStyle w:val="Heading2"/>
      </w:pPr>
      <w:r>
        <w:t>4.3. Detection and Regulation Performance</w:t>
      </w:r>
    </w:p>
    <w:p>
      <w:r>
        <w:t>Regulated agents achieved near-perfect performance on core technical requirements.</w:t>
      </w:r>
    </w:p>
    <w:p>
      <w:r>
        <w:rPr>
          <w:b/>
        </w:rPr>
        <w:t>Detection and Regulation Performance Summary</w:t>
      </w:r>
    </w:p>
    <w:p>
      <w: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r>
        <w:t>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p>
      <w:pPr>
        <w:pStyle w:val="Heading2"/>
      </w:pPr>
      <w:r>
        <w:t>4.4. Comparative Effectiveness: Regulated vs. Baseline Performance</w:t>
      </w:r>
    </w:p>
    <w:p>
      <w:r>
        <w:t>Having established technical capability, we address the primary research question: whether personality-adaptive regulation produces measurable improvements in conversational quality compared to non-adaptive baselines. This section presents comprehensive statistical comparison revealing a selective enhancement pattern: personality adaptation specifically improves addressing personality-specific needs while maintaining equivalent performance on fundamental conversational quality metrics.</w:t>
      </w:r>
    </w:p>
    <w:p>
      <w:pPr>
        <w:pStyle w:val="Heading3"/>
      </w:pPr>
      <w:r>
        <w:t>4.4.1. Primary Outcome: Personality Needs Addressed</w:t>
      </w:r>
    </w:p>
    <w:p>
      <w:r>
        <w:t>Table 2 presents statistical comparison for the primary outcome.</w:t>
      </w:r>
    </w:p>
    <w:p>
      <w:r>
        <w:rPr>
          <w:b/>
        </w:rPr>
        <w:t>Statistical Comparison of Regulated vs. Baseline Agents Across Evaluation Metrics</w:t>
      </w:r>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r>
        <w:t xml:space="preserve">Regulated agents achieved perfect performance on Personality Needs Addressed (M = 2.00, SD = 0.00) compared to baseline's near-failure (M = 0.17, SD = 0.42), yielding an exceptionally large effect size (Cohen's d = 4.58, p &lt; 0.001). This 91% improvement represents an </w:t>
      </w:r>
      <w:r>
        <w:rPr>
          <w:b/>
        </w:rPr>
        <w:t>upper-bound selective enhancement pattern</w:t>
      </w:r>
      <w:r>
        <w:t xml:space="preserve"> under idealized simulation conditions. Figure 11 visualizes this performance contrast.</w:t>
      </w:r>
    </w:p>
    <w:p>
      <w:r>
        <w:t>![](complete_submission/Figure_11_Performance_Comparison.png)</w:t>
      </w:r>
    </w:p>
    <w:p>
      <w:r>
        <w:rPr>
          <w:b/>
        </w:rPr>
        <w:t>Figure 11.</w:t>
      </w:r>
      <w:r>
        <w:t xml:space="preserve"> Performance comparison across evaluation metrics (Regulated vs. Baseline). Regulated agents show dramatic advantage specifically in Personality Needs Addressed (</w:t>
      </w:r>
      <w:r>
        <w:rPr>
          <w:b/>
        </w:rPr>
      </w:r>
      <w:r>
        <w:t>*) while maintaining equivalent performance on basic quality metrics (Emotional Tone, Relevance &amp; Coherence).</w:t>
      </w:r>
    </w:p>
    <w:p>
      <w:pPr>
        <w:pStyle w:val="Heading3"/>
      </w:pPr>
      <w:r>
        <w:t>4.4.2. Secondary Outcomes: Basic Conversational Quality</w:t>
      </w:r>
    </w:p>
    <w:p>
      <w:r>
        <w:t>Both conditions achieved equivalent performance on Emotional Tone (both M = 2.00) and Relevance &amp; Coherence (regulated M = 2.00 vs. baseline M = 1.97), with negligible effect sizes (d = 0.18 and d = 0.26, respectively, both p &gt; 0.05). This demonstrates that personality adaptation enhances personalization without compromising basic conversational competence—a critical requirement for clinical applications.</w:t>
      </w:r>
    </w:p>
    <w:p>
      <w:pPr>
        <w:pStyle w:val="Heading3"/>
      </w:pPr>
      <w:r>
        <w:t>4.4.3. Effect Size Interpretation</w:t>
      </w:r>
    </w:p>
    <w:p>
      <w:r>
        <w:t>Figure 12 visualizes effect sizes across all metrics, highlighting the selective nature of personality adaptation benefits.</w:t>
      </w:r>
    </w:p>
    <w:p>
      <w:r>
        <w:t>![](complete_submission/Figure_12_Effect_Sizes.png)</w:t>
      </w:r>
    </w:p>
    <w:p>
      <w:r>
        <w:rPr>
          <w:b/>
        </w:rPr>
        <w:t>Figure 12.</w:t>
      </w:r>
      <w:r>
        <w:t xml:space="preserve"> 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r>
        <w:rPr>
          <w:b/>
        </w:rPr>
        <w:t>Critical Interpretation Note</w:t>
      </w:r>
      <w:r>
        <w:t xml:space="preserve">: The observed effect size (d = 4.58) is </w:t>
      </w:r>
      <w:r>
        <w:rPr>
          <w:b/>
        </w:rPr>
        <w:t>primarily a mathematical artifact</w:t>
      </w:r>
      <w:r>
        <w:t xml:space="preserve"> of the experimental design rather than evidence of clinical effectiveness. This exceptionally large value reflects: (1) </w:t>
      </w:r>
      <w:r>
        <w:rPr>
          <w:b/>
        </w:rPr>
        <w:t>zero variance in the regulated condition</w:t>
      </w:r>
      <w:r>
        <w:t xml:space="preserve"> (SD = 0.00) due to ceiling effects where the system perfectly executed designed logic under controlled conditions, and (2) </w:t>
      </w:r>
      <w:r>
        <w:rPr>
          <w:b/>
        </w:rPr>
        <w:t>near-zero baseline performance</w:t>
      </w:r>
      <w:r>
        <w:t xml:space="preserve"> (M = 0.17) on personality-specific needs.</w:t>
      </w:r>
    </w:p>
    <w:p>
      <w:r>
        <w:rPr>
          <w:b/>
        </w:rPr>
        <w:t>What This Effect Size Demonstrates</w:t>
      </w:r>
      <w:r>
        <w:t xml:space="preserve">: Cohen's d = 4.58 confirms that the two experimental conditions produce </w:t>
      </w:r>
      <w:r>
        <w:rPr>
          <w:b/>
        </w:rPr>
        <w:t>dramatically different outputs</w:t>
      </w:r>
      <w:r>
        <w:t xml:space="preserve"> when tested in simulation—the regulated system addresses personality needs while the baseline does not. This validates that the architecture </w:t>
      </w:r>
      <w:r>
        <w:rPr>
          <w:b/>
        </w:rPr>
        <w:t>functions differently</w:t>
      </w:r>
      <w:r>
        <w:t xml:space="preserve"> as designed.</w:t>
      </w:r>
    </w:p>
    <w:p>
      <w:r>
        <w:rPr>
          <w:b/>
        </w:rPr>
        <w:t>What This Effect Size Does NOT Demonstrate</w:t>
      </w:r>
      <w:r>
        <w:t>: This metric does not indicate the system would achieve similar performance with real human users, does not predict clinical effectiveness, and does not generalize beyond the controlled simulation environment. Human conversations involve ambiguous language, mixed personality profiles, spontaneous communication, and contextual complexity entirely absent from this controlled test—factors that would substantially reduce effect sizes in practice (estimated d = 0.5–1.2 based on related human studies [23,24]).</w:t>
      </w:r>
    </w:p>
    <w:p>
      <w:r>
        <w:t>Statistical robustness was confirmed through convergence of parametric (t-test) and non-parametric (Mann-Whitney U) tests (detailed results in Supplementary File S10), with both test families yielding identical conclusions: no difference in emotional tone or relevance (p &gt; 0.05), highly significant difference in personality needs (p &lt; 0.001). However, these p-values reflect condition differences in deterministic simulation, not evidence of generalizable population effects.</w:t>
      </w:r>
    </w:p>
    <w:p>
      <w:pPr>
        <w:pStyle w:val="Heading3"/>
      </w:pPr>
      <w:r>
        <w:t>4.4.4. Summary of Comparative Effectiveness</w:t>
      </w:r>
    </w:p>
    <w:p>
      <w:r>
        <w:t>The selective enhancement pattern—dramatic improvement where personality adaptation matters (Personality Needs: +91%, d = 4.58), no change where it shouldn't (basic quality: d &lt; 0.3)—confirms that Zurich Model-aligned regulation targets individual psychological differences rather than merely improving general interaction quality. This validates theoretical predictions and demonstrates architectural feasibility under controlled simulation conditions.</w:t>
      </w:r>
    </w:p>
    <w:p>
      <w:pPr>
        <w:pStyle w:val="Heading2"/>
      </w:pPr>
      <w:r>
        <w:t>4.5. Personality Vector Analysis</w:t>
      </w:r>
    </w:p>
    <w:p>
      <w:r>
        <w:t>Analysis of detected personality vectors revealed consistent trait patterns across dialogue turns. Figure 9 visualizes personality dimensions.</w:t>
      </w:r>
    </w:p>
    <w:p>
      <w:r>
        <w:t>![](complete_submission/Figure_09_Personality_Dimensions.png)</w:t>
      </w:r>
    </w:p>
    <w:p>
      <w:r>
        <w:rPr>
          <w:b/>
        </w:rPr>
        <w:t>Figure 9.</w:t>
      </w:r>
      <w:r>
        <w:t xml:space="preserve"> Big Five personality dimensions.</w:t>
      </w:r>
    </w:p>
    <w:p>
      <w:r>
        <w:t>Figure 10 presents a heatmap visualization of personality patterns across dimensions.</w:t>
      </w:r>
    </w:p>
    <w:p>
      <w:r>
        <w:t>![](complete_submission/Figure_10_Personality_Heatmap.png)</w:t>
      </w:r>
    </w:p>
    <w:p>
      <w:r>
        <w:rPr>
          <w:b/>
        </w:rPr>
        <w:t>Figure 10.</w:t>
      </w:r>
      <w:r>
        <w:t xml:space="preserve"> Personality heatmap across dimensions.</w:t>
      </w:r>
    </w:p>
    <w:p>
      <w:pPr>
        <w:pStyle w:val="Heading2"/>
      </w:pPr>
      <w:r>
        <w:t>4.6. Criterion-Specific Analysis</w:t>
      </w:r>
    </w:p>
    <w:p>
      <w:r>
        <w:rPr>
          <w:b/>
        </w:rPr>
        <w:t>Regulated Agent Performance Across All Metrics</w:t>
      </w:r>
      <w:r>
        <w:t>:</w:t>
      </w:r>
    </w:p>
    <w:p>
      <w:r>
        <w:t>- Detection Accuracy: 58/58 (100%)</w:t>
      </w:r>
    </w:p>
    <w:p>
      <w:r>
        <w:t>- Regulation Effectiveness: 59/59 (100%)</w:t>
      </w:r>
    </w:p>
    <w:p>
      <w:r>
        <w:t>- Emotional Tone: 59/59 (100%)</w:t>
      </w:r>
    </w:p>
    <w:p>
      <w:r>
        <w:t>- Relevance &amp; Coherence: 59/59 (100%)</w:t>
      </w:r>
    </w:p>
    <w:p>
      <w:r>
        <w:t>- Personality Needs: 59/59 (100%)</w:t>
      </w:r>
    </w:p>
    <w:p>
      <w:r>
        <w:rPr>
          <w:b/>
        </w:rPr>
        <w:t>Baseline Agent Performance</w:t>
      </w:r>
      <w:r>
        <w:t>:</w:t>
      </w:r>
    </w:p>
    <w:p>
      <w:r>
        <w:t>- Emotional Tone: 60/60 (100%)</w:t>
      </w:r>
    </w:p>
    <w:p>
      <w:r>
        <w:t>- Relevance &amp; Coherence: 59/60 (98.33%)</w:t>
      </w:r>
    </w:p>
    <w:p>
      <w:r>
        <w:t xml:space="preserve">- Personality Needs: 5/58 (8.62%) - </w:t>
      </w:r>
      <w:r>
        <w:rPr>
          <w:b/>
        </w:rPr>
        <w:t>Critical failure in personalization</w:t>
      </w:r>
    </w:p>
    <w:p>
      <w:r>
        <w:rPr>
          <w:b/>
        </w:rPr>
        <w:t>Performance Gap Analysis</w:t>
      </w:r>
      <w:r>
        <w:t>: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p>
      <w:pPr>
        <w:pStyle w:val="Heading2"/>
      </w:pPr>
      <w:r>
        <w:t>4.7.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while encouraging, mismatches the user's needs by suggesting "small steps" (inappropriate for high Conscientiousness) and "see what feels right" (too unstructured for someone seeking systematic approaches).</w:t>
      </w:r>
    </w:p>
    <w:p>
      <w:pPr>
        <w:pStyle w:val="Heading2"/>
      </w:pPr>
      <w:r>
        <w:t>4.8. Summary of Key Findings</w:t>
      </w:r>
    </w:p>
    <w:p>
      <w:r>
        <w:t>This section synthesizes empirical results addressing the three research questions:</w:t>
      </w:r>
    </w:p>
    <w:p>
      <w:r>
        <w:t xml:space="preserve">- </w:t>
      </w:r>
      <w:r>
        <w:rPr>
          <w:b/>
        </w:rPr>
        <w:t>RQ1 (Detection Accuracy)</w:t>
      </w:r>
      <w:r>
        <w:t>: Answered in Sections 4.3 and 4.5 - Stable personality traits were accurately inferred from conversational cues in real time.</w:t>
      </w:r>
    </w:p>
    <w:p>
      <w:r>
        <w:t xml:space="preserve">- </w:t>
      </w:r>
      <w:r>
        <w:rPr>
          <w:b/>
        </w:rPr>
        <w:t>RQ2 (Regulation Effectiveness)</w:t>
      </w:r>
      <w:r>
        <w:t>: Answered in Sections 4.4, 4.6, and 4.10 - Theory-driven personality-adaptive regulation produced measurable improvements beyond generic responses.</w:t>
      </w:r>
    </w:p>
    <w:p>
      <w:r>
        <w:t xml:space="preserve">- </w:t>
      </w:r>
      <w:r>
        <w:rPr>
          <w:b/>
        </w:rPr>
        <w:t>RQ3 (Evaluation Validity)</w:t>
      </w:r>
      <w:r>
        <w:t>: Validated throughout Section 4 - LLM-based evaluations aligned with independent human expert judgments.</w:t>
      </w:r>
    </w:p>
    <w:p>
      <w:r>
        <w:t>The simulation study yielded four principal findings establishing technical feasibility while highlighting critical validation requirements:</w:t>
      </w:r>
    </w:p>
    <w:p>
      <w:r>
        <w:t xml:space="preserve">1. </w:t>
      </w:r>
      <w:r>
        <w:rPr>
          <w:b/>
        </w:rPr>
        <w:t>Perfect Technical Implementation Under Controlled Conditions (? RQ1)</w:t>
      </w:r>
      <w:r>
        <w:t>: Both personality detection (100%, 58/58) and regulation (100%, 59/59) achieved perfect accuracy in controlled simulation, demonstrating core technical components function correctly when conditions are ideal.</w:t>
      </w:r>
    </w:p>
    <w:p>
      <w:r>
        <w:t xml:space="preserve">2. </w:t>
      </w:r>
      <w:r>
        <w:rPr>
          <w:b/>
        </w:rPr>
        <w:t>Selective Enhancement Pattern (? RQ2)</w:t>
      </w:r>
      <w:r>
        <w:t>: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r>
        <w:t xml:space="preserve">3. </w:t>
      </w:r>
      <w:r>
        <w:rPr>
          <w:b/>
        </w:rPr>
        <w:t>Exceptionally Large Effect Size with Validated Evaluation (RQ2 &amp; RQ3)</w:t>
      </w:r>
      <w:r>
        <w:t>: Observed effect size (Cohen's d = 4.58) for personality-specific adaptation represents a very large effect exceeding conventional thresholds (d &gt; 0.8). Combined with statistical significance (p &lt; 0.001) and validated AI evaluation (κ = 0.89 agreement with human experts), this provides robust quantitative evidence of performance differences under controlled conditions. Strong human-AI evaluator agreement establishes LLM-based evaluation as a scalable yet reliable assessment method.</w:t>
      </w:r>
    </w:p>
    <w:p>
      <w:r>
        <w:t xml:space="preserve">4. </w:t>
      </w:r>
      <w:r>
        <w:rPr>
          <w:b/>
        </w:rPr>
        <w:t>Critical Limitations Require Extensive Validation</w:t>
      </w:r>
      <w:r>
        <w:t>: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Principal Findings</w:t>
      </w:r>
    </w:p>
    <w:p>
      <w:r>
        <w:t xml:space="preserve">This simulation study examined a personality-adaptive conversational framework integrating real-time Big Five trait detection with Zurich Model-aligned behavior regulation. In controlled </w:t>
      </w:r>
      <w:r>
        <w:rPr>
          <w:b/>
        </w:rPr>
        <w:t>AI-to-AI interactions</w:t>
      </w:r>
      <w:r>
        <w:t xml:space="preserve"> with extreme simulated personality profiles, the system demonstrated </w:t>
      </w:r>
      <w:r>
        <w:rPr>
          <w:b/>
        </w:rPr>
        <w:t>complete implementation fidelity</w:t>
      </w:r>
      <w:r>
        <w:t xml:space="preserve">, </w:t>
      </w:r>
      <w:r>
        <w:rPr>
          <w:b/>
        </w:rPr>
        <w:t>confirming the architecture functions as designed</w:t>
      </w:r>
      <w:r>
        <w:t xml:space="preserve">. This represents a </w:t>
      </w:r>
      <w:r>
        <w:rPr>
          <w:b/>
        </w:rPr>
        <w:t>methodological validation</w:t>
      </w:r>
      <w:r>
        <w:t>—demonstrating that detection modules correctly identify trait patterns in controlled input and regulation modules successfully apply Zurich Model mappings—</w:t>
      </w:r>
      <w:r>
        <w:rPr>
          <w:b/>
        </w:rPr>
        <w:t>rather than evidence of clinical performance</w:t>
      </w:r>
      <w:r>
        <w:t>.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(κ = 0.89), supporting use of structured LLM assessment for scalable evaluation.</w:t>
      </w:r>
    </w:p>
    <w:p>
      <w:r>
        <w:t>These findings suggest personality-adaptive mechanisms can be implemented reliably with current LLM technology under idealized conditions and that such mechanisms translate into substantive gains in personalization within simulation scope.</w:t>
      </w:r>
    </w:p>
    <w:p>
      <w:pPr>
        <w:pStyle w:val="Heading2"/>
      </w:pPr>
      <w:r>
        <w:t>5.2. Interpretation of Perfect Performance</w:t>
      </w:r>
    </w:p>
    <w:p>
      <w: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p>
      <w:pPr>
        <w:pStyle w:val="Heading2"/>
      </w:pPr>
      <w:r>
        <w:t>5.3. Comparison with Existing Literature</w:t>
      </w:r>
    </w:p>
    <w:p>
      <w:r>
        <w:t>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r>
        <w:t>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p>
      <w:pPr>
        <w:pStyle w:val="Heading2"/>
      </w:pPr>
      <w:r>
        <w:t>5.4. Implications for Research and Practice</w:t>
      </w:r>
    </w:p>
    <w:p>
      <w: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p>
      <w:pPr>
        <w:pStyle w:val="Heading2"/>
      </w:pPr>
      <w:r>
        <w:t>5.5. Toward Future Clinical Research</w:t>
      </w:r>
    </w:p>
    <w:p>
      <w:r>
        <w:rPr>
          <w:b/>
        </w:rPr>
        <w:t>Critical Caveat</w:t>
      </w:r>
      <w:r>
        <w:t xml:space="preserve">: This simulation study provides </w:t>
      </w:r>
      <w:r>
        <w:rPr>
          <w:b/>
        </w:rPr>
        <w:t>no evidence</w:t>
      </w:r>
      <w:r>
        <w:t xml:space="preserve"> that personality-adaptive AI is ready for, or would be effective in, clinical applications. Translation to clinical practice would require addressing fundamental gaps that this architectural validation does not address:</w:t>
      </w:r>
    </w:p>
    <w:p>
      <w:r>
        <w:t xml:space="preserve">- </w:t>
      </w:r>
      <w:r>
        <w:rPr>
          <w:b/>
        </w:rPr>
        <w:t>Validated Clinical Outcomes</w:t>
      </w:r>
      <w:r>
        <w:t>: Effect sizes observed here (d = 4.58) reflect AI-judged conversation quality in controlled simulation, not patient-reported outcomes, symptom reduction, therapeutic alliance, or sustained engagement measured using validated instruments (e.g., UCLA Loneliness Scale, WHO-5).</w:t>
      </w:r>
    </w:p>
    <w:p>
      <w:r>
        <w:t xml:space="preserve">- </w:t>
      </w:r>
      <w:r>
        <w:rPr>
          <w:b/>
        </w:rPr>
        <w:t>Safety Infrastructure</w:t>
      </w:r>
      <w:r>
        <w:t>: Any healthcare application would require comprehensive safety protocols including distress detection, crisis escalation pathways, adverse event monitoring, and validation that personality profiling does not introduce bias or harm.</w:t>
      </w:r>
    </w:p>
    <w:p>
      <w:r>
        <w:t xml:space="preserve">- </w:t>
      </w:r>
      <w:r>
        <w:rPr>
          <w:b/>
        </w:rPr>
        <w:t>Extensive Human Validation</w:t>
      </w:r>
      <w:r>
        <w:t>: Multi-site trials with diverse populations, longitudinal tracking, real-world effectiveness evaluation, and rigorous ethical and regulatory review are mandatory prerequisites that have not been conducted.</w:t>
      </w:r>
    </w:p>
    <w:p>
      <w:r>
        <w:t xml:space="preserve">The findings establish </w:t>
      </w:r>
      <w:r>
        <w:rPr>
          <w:b/>
        </w:rPr>
        <w:t>what is architecturally possible under idealized conditions</w:t>
      </w:r>
      <w:r>
        <w:t>, not what is safe, effective, or appropriate for real patients. The pathway from this proof-of-concept to any clinical application is uncertain and would require sustained, interdisciplinary collaboration among computer scientists, clinical psychologists, ethicists, regulators, and patients.</w:t>
      </w:r>
    </w:p>
    <w:p>
      <w:pPr>
        <w:pStyle w:val="Heading2"/>
      </w:pPr>
      <w:r>
        <w:t>5.6. Limitations and Future Work</w:t>
      </w:r>
    </w:p>
    <w:p>
      <w: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p>
      <w:pPr>
        <w:pStyle w:val="Heading1"/>
      </w:pPr>
      <w:r>
        <w:t>6. Conclusions</w:t>
      </w:r>
    </w:p>
    <w:p>
      <w:r>
        <w:t xml:space="preserve">We demonstrate </w:t>
      </w:r>
      <w:r>
        <w:rPr>
          <w:b/>
        </w:rPr>
        <w:t>architectural and implementation feasibility</w:t>
      </w:r>
      <w:r>
        <w:t xml:space="preserve"> of integrating real-time Big Five personality detection with Zurich Model-aligned behavioral regulation </w:t>
      </w:r>
      <w:r>
        <w:rPr>
          <w:b/>
        </w:rPr>
        <w:t>as a computational framework</w:t>
      </w:r>
      <w:r>
        <w:t xml:space="preserve">, establishing that these components </w:t>
      </w:r>
      <w:r>
        <w:rPr>
          <w:b/>
        </w:rPr>
        <w:t>can be successfully orchestrated using current LLM technology in simulation environments</w:t>
      </w:r>
      <w:r>
        <w:t>. The system achieved complete implementation fidelity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r>
        <w:t xml:space="preserve">Results represent an </w:t>
      </w:r>
      <w:r>
        <w:rPr>
          <w:b/>
        </w:rPr>
        <w:t>upper bound</w:t>
      </w:r>
      <w:r>
        <w:t xml:space="preserve"> 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r>
        <w:t>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r>
        <w:rPr>
          <w:b/>
        </w:rPr>
        <w:t>Broader Impact</w:t>
      </w:r>
      <w:r>
        <w:t>: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pPr>
        <w:pStyle w:val="Heading1"/>
      </w:pPr>
      <w:r>
        <w:t>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pPr>
        <w:pStyle w:val="Heading1"/>
      </w:pPr>
      <w:r>
        <w:t>Informed Consent Statement</w:t>
      </w:r>
    </w:p>
    <w:p>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Malekzad, F., Paudel, D., Knoll, A.C., &amp; Mirolli, M. (2023). Dynamics of personality: The Zurich model of motivation revived, extended, and applied to personality. </w:t>
      </w:r>
      <w:r>
        <w:rPr>
          <w:i/>
        </w:rPr>
        <w:t>Journal of Personality</w:t>
      </w:r>
      <w:r>
        <w:t xml:space="preserve">, </w:t>
      </w:r>
      <w:r>
        <w:rPr>
          <w:i/>
        </w:rPr>
        <w:t>91</w:t>
      </w:r>
      <w:r>
        <w:t>(4), 928–946. https://doi.org/10.1111/jopy.12805</w:t>
      </w:r>
    </w:p>
    <w:p>
      <w:r>
        <w:t xml:space="preserve">[11] Krippendorff, K. (2011). Computing Krippendorff's alpha-reliability. </w:t>
      </w:r>
      <w:r>
        <w:rPr>
          <w:i/>
        </w:rPr>
        <w:t>Departmental Papers (ASC)</w:t>
      </w:r>
      <w:r>
        <w:t>, University of Pennsylvania.</w:t>
      </w:r>
    </w:p>
    <w:p>
      <w:r>
        <w:t xml:space="preserve">[12] Alisamir, S., &amp; Ringeval, F. (2021). On the evolution of speech representations for affective computing: A brief history and critical overview. </w:t>
      </w:r>
      <w:r>
        <w:rPr>
          <w:i/>
        </w:rPr>
        <w:t>IEEE Signal Processing Magazine</w:t>
      </w:r>
      <w:r>
        <w:t xml:space="preserve">, </w:t>
      </w:r>
      <w:r>
        <w:rPr>
          <w:i/>
        </w:rPr>
        <w:t>38</w:t>
      </w:r>
      <w:r>
        <w:t>, 12–21.</w:t>
      </w:r>
    </w:p>
    <w:p>
      <w:r>
        <w:t xml:space="preserve">[13] Alsharekh, M.F. (2022). Facial emotion recognition in verbal communication based on deep learning. </w:t>
      </w:r>
      <w:r>
        <w:rPr>
          <w:i/>
        </w:rPr>
        <w:t>Electronics</w:t>
      </w:r>
      <w:r>
        <w:t xml:space="preserve">, </w:t>
      </w:r>
      <w:r>
        <w:rPr>
          <w:i/>
        </w:rPr>
        <w:t>11</w:t>
      </w:r>
      <w:r>
        <w:t>(16), 2568.</w:t>
      </w:r>
    </w:p>
    <w:p>
      <w:r>
        <w:t xml:space="preserve">[14] Alberts, L., Keeling, G., &amp; McCroskery, A. (2024). Should agentic conversational AI change how we think about ethics? Characterising an interactional ethics centred on respect. </w:t>
      </w:r>
      <w:r>
        <w:rPr>
          <w:i/>
        </w:rPr>
        <w:t>arXiv preprint arXiv:2401.09187</w:t>
      </w:r>
      <w:r>
        <w:t>.</w:t>
      </w:r>
    </w:p>
    <w:p>
      <w:r>
        <w:t xml:space="preserve">[15] Zheng, Z.; Liao, L.; Deng, Y.; &amp; Nie, L. (2023). Building emotional support chatbots in the era of LLMs. </w:t>
      </w:r>
      <w:r>
        <w:rPr>
          <w:i/>
        </w:rPr>
        <w:t>arXiv preprint arXiv:2308.11584</w:t>
      </w:r>
      <w:r>
        <w:t>.</w:t>
      </w:r>
    </w:p>
    <w:p>
      <w:r>
        <w:t xml:space="preserve">[16] Chen, K., Kang, X., Lai, X., &amp; Ni, Z. (2023). Enhancing emotional support capabilities of large language models through cascaded neural networks. </w:t>
      </w:r>
      <w:r>
        <w:rPr>
          <w:i/>
        </w:rPr>
        <w:t>2023 4th International Conference on Computer, Big Data and Artificial Intelligence (ICCBD+AI)</w:t>
      </w:r>
      <w:r>
        <w:t>, 318–326.</w:t>
      </w:r>
    </w:p>
    <w:p>
      <w:r>
        <w:t xml:space="preserve">[17] Dong, T., Liu, F., Wang, X., Jiang, Y., Zhang, X., &amp; Sun, X. (2024). EmoAda: A multimodal emotion interaction and psychological adaptation system. </w:t>
      </w:r>
      <w:r>
        <w:rPr>
          <w:i/>
        </w:rPr>
        <w:t>Conference on Multimedia Modeling</w:t>
      </w:r>
      <w:r>
        <w:t>.</w:t>
      </w:r>
    </w:p>
    <w:p>
      <w:r>
        <w:t xml:space="preserve">[18] Abbasian, M.; Azimi, I.; Rahmani, A.M.; &amp; Jain, R.C. (2023). Conversational health agents: A personalized LLM-powered agent framework. </w:t>
      </w:r>
      <w:r>
        <w:rPr>
          <w:i/>
        </w:rPr>
        <w:t>arXiv preprint arXiv:2310.02293</w:t>
      </w:r>
      <w:r>
        <w:t>.</w:t>
      </w:r>
    </w:p>
    <w:p>
      <w:r>
        <w:t xml:space="preserve">[19] Sorino, P.; et al. (2024). ARIEL: Brain-computer interfaces meet large language models for emotional support conversation. </w:t>
      </w:r>
      <w:r>
        <w:rPr>
          <w:i/>
        </w:rPr>
        <w:t>UMAP Adjunct '24</w:t>
      </w:r>
      <w:r>
        <w:t>.</w:t>
      </w:r>
    </w:p>
    <w:p>
      <w:r>
        <w:t xml:space="preserve">[20] Dongre, P. (2024). Physiology-driven empathic large language models (EmLLMs) for mental health support. </w:t>
      </w:r>
      <w:r>
        <w:rPr>
          <w:i/>
        </w:rPr>
        <w:t>Extended Abstracts of the CHI Conference on Human Factors in Computing Systems</w:t>
      </w:r>
      <w:r>
        <w:t>.</w:t>
      </w:r>
    </w:p>
    <w:p>
      <w:r>
        <w:t xml:space="preserve">[21] Ta, V.; Griffith, C.; Boatfield, C.; Wang, X.; Civitello, M.; &amp; Maffei, H. (2020). User experiences of social support from companion chatbots in everyday contexts: Thematic analysis. </w:t>
      </w:r>
      <w:r>
        <w:rPr>
          <w:i/>
        </w:rPr>
        <w:t>Journal of Medical Internet Research</w:t>
      </w:r>
      <w:r>
        <w:t xml:space="preserve">, </w:t>
      </w:r>
      <w:r>
        <w:rPr>
          <w:i/>
        </w:rPr>
        <w:t>22</w:t>
      </w:r>
      <w:r>
        <w:t>(3), e16235.</w:t>
      </w:r>
    </w:p>
    <w:p>
      <w:r>
        <w:t xml:space="preserve">[22] Broadbent, E.; et al. (2024). ElliQ, an AI-driven social robot to alleviate loneliness: Progress and lessons learned. </w:t>
      </w:r>
      <w:r>
        <w:rPr>
          <w:i/>
        </w:rPr>
        <w:t>JAR Life</w:t>
      </w:r>
      <w:r>
        <w:t xml:space="preserve">, </w:t>
      </w:r>
      <w:r>
        <w:rPr>
          <w:i/>
        </w:rPr>
        <w:t>13</w:t>
      </w:r>
      <w:r>
        <w:t>, 22–28.</w:t>
      </w:r>
    </w:p>
    <w:p>
      <w:r>
        <w:t xml:space="preserve">[23] Shah, S.G.S.; et al. (2019). Effectiveness of digital technology interventions to reduce loneliness in adults: A protocol for a systematic review and meta-analysis. </w:t>
      </w:r>
      <w:r>
        <w:rPr>
          <w:i/>
        </w:rPr>
        <w:t>BMJ Open</w:t>
      </w:r>
      <w:r>
        <w:t xml:space="preserve">, </w:t>
      </w:r>
      <w:r>
        <w:rPr>
          <w:i/>
        </w:rPr>
        <w:t>9</w:t>
      </w:r>
      <w:r>
        <w:t>(9), e029324.</w:t>
      </w:r>
    </w:p>
    <w:p>
      <w:r>
        <w:t xml:space="preserve">[24] Shah, S.G.S.; et al. (2021). Evaluation of the effectiveness of digital technology interventions to reduce loneliness in older adults: Systematic review and meta-analysis. </w:t>
      </w:r>
      <w:r>
        <w:rPr>
          <w:i/>
        </w:rPr>
        <w:t>Journal of Medical Internet Research</w:t>
      </w:r>
      <w:r>
        <w:t xml:space="preserve">, </w:t>
      </w:r>
      <w:r>
        <w:rPr>
          <w:i/>
        </w:rPr>
        <w:t>23</w:t>
      </w:r>
      <w:r>
        <w:t>(6), e24712.</w:t>
      </w:r>
    </w:p>
    <w:p>
      <w:r>
        <w:t xml:space="preserve">[25] Zhang, H., Chen, Y., Wang, M., &amp; Feng, S. (2024). FEEL: A framework for evaluating emotional support capability with large language models. </w:t>
      </w:r>
      <w:r>
        <w:rPr>
          <w:i/>
        </w:rPr>
        <w:t>arXiv preprint</w:t>
      </w:r>
      <w:r>
        <w:t xml:space="preserve"> abs/2403.15699.</w:t>
      </w:r>
    </w:p>
    <w:p>
      <w:r>
        <w:t xml:space="preserve">[26] Berlyne, D.E. (1960). </w:t>
      </w:r>
      <w:r>
        <w:rPr>
          <w:i/>
        </w:rPr>
        <w:t>Conflict, arousal, and curiosity</w:t>
      </w:r>
      <w:r>
        <w:t>. McGraw-Hill.</w:t>
      </w:r>
    </w:p>
    <w:p>
      <w:r>
        <w:t xml:space="preserve">[27] Hebb, D.O. (1949). </w:t>
      </w:r>
      <w:r>
        <w:rPr>
          <w:i/>
        </w:rPr>
        <w:t>The organization of behavior: A neuropsychological theory</w:t>
      </w:r>
      <w:r>
        <w:t>. Wiley.</w:t>
      </w:r>
    </w:p>
    <w:p>
      <w:r>
        <w:t xml:space="preserve">[28] Bischof, N. (1985). </w:t>
      </w:r>
      <w:r>
        <w:rPr>
          <w:i/>
        </w:rPr>
        <w:t>Das R–tsel -dipus: Die biologischen Wurzeln des Urkonfliktes</w:t>
      </w:r>
      <w:r>
        <w:t>. Piper.</w:t>
      </w:r>
    </w:p>
    <w:p>
      <w:r>
        <w:t xml:space="preserve">[29] Bischof, N. (1993). Untersuchungen zur Systemanalyse der sozialen Motivation I: Die Tantalus-Situation. </w:t>
      </w:r>
      <w:r>
        <w:rPr>
          <w:i/>
        </w:rPr>
        <w:t>Zeitschrift f–r Psychologie</w:t>
      </w:r>
      <w:r>
        <w:t xml:space="preserve">, </w:t>
      </w:r>
      <w:r>
        <w:rPr>
          <w:i/>
        </w:rPr>
        <w:t>201</w:t>
      </w:r>
      <w:r>
        <w:t>, 5-43.</w:t>
      </w:r>
    </w:p>
    <w:p>
      <w:r>
        <w:t xml:space="preserve">[30] Zhou, M.X.; et al. (2021). Designing effective interview chatbots: Automatic chatbot profiling and design suggestion generation. </w:t>
      </w:r>
      <w:r>
        <w:rPr>
          <w:i/>
        </w:rPr>
        <w:t>CHI '21</w:t>
      </w:r>
      <w:r>
        <w:t>.</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p>
      <w:r>
        <w:t xml:space="preserve">- </w:t>
      </w:r>
      <w:r>
        <w:rPr>
          <w:b/>
        </w:rPr>
        <w:t>Supplementary File S10</w:t>
      </w:r>
      <w:r>
        <w:t>: Statistical robustness analysis (parametric vs. non-parametric tests, weighted scoring, normality testing, bootstrap confidence intervals)</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