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Abstract</w:t>
      </w:r>
    </w:p>
    <w:p>
      <w:r>
        <w:t>Abstract: Large language model agents are increasingly deployed to expand access to digital emotion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r>
        <w:t>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r>
        <w:t>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r>
        <w:t>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r>
        <w:rPr>
          <w:b/>
        </w:rPr>
        <w:t>Keywords:</w:t>
      </w:r>
      <w:r>
        <w:t xml:space="preserve"> digital mental health; conversational agents; large language models; personality detection; Big Five; Zurich Model; adaptive interaction; emotional support; simulation study; GPT-4</w:t>
      </w:r>
    </w:p>
    <w:p>
      <w:pPr>
        <w:pStyle w:val="Title"/>
      </w:pPr>
      <w:r>
        <w:t>1. Introduction</w:t>
      </w:r>
    </w:p>
    <w:p>
      <w:r>
        <w:t>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while providing accessible, timely social and emotional support.</w:t>
      </w:r>
    </w:p>
    <w:p>
      <w:r>
        <w:t>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r>
        <w:t>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r>
        <w:t>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GPT-4–based agents performs real-time detection of Big Five traits that continuously infers and updates stable trait estimates based on linguistic cues throughout conversation and response theory-guided behavioral adaptation.</w:t>
      </w:r>
    </w:p>
    <w:p>
      <w:r>
        <w:t>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p>
      <w:pPr>
        <w:pStyle w:val="Heading1"/>
      </w:pPr>
      <w:r>
        <w:t>2. Related Work</w:t>
      </w:r>
    </w:p>
    <w:p>
      <w:r>
        <w:t>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r>
        <w:t>This section traces the evolution from generic therapeutic support systems toward personality-adaptive AI architectures, building upon three interconnected research streams: (1) affective computing and emotion-aware systems, (2) conversational AI architectures including transformer-based LLMs, and (3) personality psychology theories that explain individual differences in emotional processing. We systematically review the state of the art in each domain before synthesizing critical gaps that motivate our investigation.</w:t>
      </w:r>
    </w:p>
    <w:p>
      <w:pPr>
        <w:pStyle w:val="Heading2"/>
      </w:pPr>
      <w:r>
        <w:t>2.1. Affective Computing and Emotion Recognition</w:t>
      </w:r>
    </w:p>
    <w:p>
      <w:r>
        <w:t xml:space="preserve">Early affective computing research established foundational techniques for recognizing emotional states from text, speech, and facial expressions [12,13]. Initial approaches relied heavily on </w:t>
      </w:r>
      <w:r>
        <w:rPr>
          <w:b/>
        </w:rPr>
        <w:t>categorical emotion models</w:t>
      </w:r>
      <w:r>
        <w:t xml:space="preserve"> (e.g., happiness, sadness) before evolving toward </w:t>
      </w:r>
      <w:r>
        <w:rPr>
          <w:b/>
        </w:rPr>
        <w:t>dimensional representations</w:t>
      </w:r>
      <w:r>
        <w:t xml:space="preserve"> that model affect distinct valence and arousal components. While these systems demonstrated the feasibility of detecting emotional signals, they face persistent challenges with generalization across individuals and contexts, often struggling with the subtle, mixed emotional expressions common in real-world interactions [12,13].</w:t>
      </w:r>
    </w:p>
    <w:p>
      <w:r>
        <w:t xml:space="preserve">From a systems perspective, such signal-driven detection implements </w:t>
      </w:r>
      <w:r>
        <w:rPr>
          <w:i/>
        </w:rPr>
        <w:t>shallow affective modeling</w:t>
      </w:r>
      <w:r>
        <w:t xml:space="preserve">—recognizing surface-level emotional signals without accounting for the </w:t>
      </w:r>
      <w:r>
        <w:rPr>
          <w:b/>
        </w:rPr>
        <w:t>cognitive and motivational context</w:t>
      </w:r>
      <w:r>
        <w:t xml:space="preserve">. A critical limitation is the emphasis on </w:t>
      </w:r>
      <w:r>
        <w:rPr>
          <w:i/>
        </w:rPr>
        <w:t>transient emotional states</w:t>
      </w:r>
      <w:r>
        <w:t xml:space="preserve"> rather than </w:t>
      </w:r>
      <w:r>
        <w:rPr>
          <w:i/>
        </w:rPr>
        <w:t>stable personality traits</w:t>
      </w:r>
      <w:r>
        <w:t xml:space="preserve">. Most work focuses on detecting </w:t>
      </w:r>
      <w:r>
        <w:rPr>
          <w:i/>
        </w:rPr>
        <w:t>what</w:t>
      </w:r>
      <w:r>
        <w:t xml:space="preserve"> users are currently feeling (e.g., anxiety) to generate empathetic responses, but overlooks </w:t>
      </w:r>
      <w:r>
        <w:rPr>
          <w:i/>
        </w:rPr>
        <w:t>who</w:t>
      </w:r>
      <w:r>
        <w:t xml:space="preserve"> the user is—specifically how stable personality differences shape emotional processing and regulation needs [6]. This reliance on transient state detection leaves a gap in understanding the stable architectural differences that determine effective support strategies.</w:t>
      </w:r>
    </w:p>
    <w:p>
      <w:pPr>
        <w:pStyle w:val="Heading2"/>
      </w:pPr>
      <w:r>
        <w:t>2.2. Large Language Models in Mental Health</w:t>
      </w:r>
    </w:p>
    <w:p>
      <w:r>
        <w:t>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r>
        <w:t>Despite these advances, current LLM-based therapeutic support systems frequently exhibit a "one-size-fits-all" limitation. While they generate contextually appropriate empathetic responses, they typically adapt to the immediate context rather than the user's stable psychological profile. Without mechanisms to build and maintain persistent personality models, these systems cannot maintain the long-term consistency or psychological attunement required for effective therapeutic allegiance.</w:t>
      </w:r>
    </w:p>
    <w:p>
      <w:pPr>
        <w:pStyle w:val="Heading2"/>
      </w:pPr>
      <w:r>
        <w:t>2.3. AI Companions and Digital Interventions</w:t>
      </w:r>
    </w:p>
    <w:p>
      <w:r>
        <w:t>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w:t>
      </w:r>
    </w:p>
    <w:p>
      <w:r>
        <w:t>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This static approach creates a fundamental mismatch: while users' emotional states fluctuate and conversational patterns evolve, the system's interaction style remains fixed, potentially limiting the depth of therapeutic rapport.</w:t>
      </w:r>
    </w:p>
    <w:p>
      <w:pPr>
        <w:pStyle w:val="Heading2"/>
      </w:pPr>
      <w:r>
        <w:t>2.4. Personality-Aware Dialogue Systems</w:t>
      </w:r>
    </w:p>
    <w:p>
      <w:r>
        <w:t>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agents, with profiling-informed designs yielding improved user satisfaction and task completion rates.</w:t>
      </w:r>
    </w:p>
    <w:p>
      <w:r>
        <w:t xml:space="preserve">However, these systems typically rely on </w:t>
      </w:r>
      <w:r>
        <w:rPr>
          <w:i/>
        </w:rPr>
        <w:t>static personality inputs</w:t>
      </w:r>
      <w:r>
        <w:t>—either explicitly provided by users or inferred once at the beginning of interaction [6,30]. This approach has two critical limitations: (1) it requires users to complete personality assessments before interaction, creating friction and potential dropout, and (2) it cannot adapt to evolving understanding of user personality as more conversational evidence accumulates. This static profiling approach fails to capture the dynamic nature of human social cognition, where mental models of others are continuously refined through interaction.</w:t>
      </w:r>
    </w:p>
    <w:p>
      <w:pPr>
        <w:pStyle w:val="Heading2"/>
      </w:pPr>
      <w:r>
        <w:t>2.5. Theoretical Foundations in Social Motivation</w:t>
      </w:r>
    </w:p>
    <w:p>
      <w:r>
        <w:t xml:space="preserve">While computational approaches to personality-aware dialogue have advanced, they often lack grounding in cognitive-motivational theory that explains </w:t>
      </w:r>
      <w:r>
        <w:rPr>
          <w:i/>
        </w:rPr>
        <w:t>why</w:t>
      </w:r>
      <w:r>
        <w:t xml:space="preserve"> personality traits should influence conversational behavior and </w:t>
      </w:r>
      <w:r>
        <w:rPr>
          <w:i/>
        </w:rPr>
        <w:t>how</w:t>
      </w:r>
      <w:r>
        <w:t xml:space="preserve"> 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r>
        <w:t>The Zurich Model builds on earlier motivation theories [26,27] and Bischof's systems analysis of social motivation [28,29], proposing that personality traits reflect stable individual differences in the cognitive architecture governing motivational balance between these systems. Despite its theoretical richness, the Zurich Model has not been widely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p>
      <w:pPr>
        <w:pStyle w:val="Heading2"/>
      </w:pPr>
      <w:r>
        <w:t>2.6. Challenges in Evaluating LLM-Based Interventions</w:t>
      </w:r>
    </w:p>
    <w:p>
      <w:r>
        <w:t>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(e.g., the FEEL framework [25]), demonstrating that structured LLM-based evaluation can correlate with human judgments. However, this raises concerns about circular validation: using AI to evaluate AI-generated outputs may introduce systematic biases that inflate performance metrics [5]. Azaria et al. [5] caution that LLM-based tools are most reliable when used by domain experts who can critically evaluate outputs rather than accepting them uncritically. This creates a need for rigorous validation protocols that combine the scalability of AI evaluation with the validity assurance of independent expert ratings.</w:t>
      </w:r>
    </w:p>
    <w:p>
      <w:pPr>
        <w:pStyle w:val="Heading2"/>
      </w:pPr>
      <w:r>
        <w:t>2.7. Synthesis of Gaps and Study Contributions</w:t>
      </w:r>
    </w:p>
    <w:p>
      <w:r>
        <w:t>Our systematic review reveals three critical gaps in current AI-driven mental health support, which this study addresses through a novel personality-adaptive framework integrated within the PROMISE orchestration system [7]:</w:t>
      </w:r>
    </w:p>
    <w:p>
      <w:r>
        <w:t xml:space="preserve">1.  </w:t>
      </w:r>
      <w:r>
        <w:rPr>
          <w:b/>
        </w:rPr>
        <w:t>Static vs. Dynamic Modeling Gap</w:t>
      </w:r>
      <w:r>
        <w:t>: Existing systems predominantly rely on static personality profiles initialized before interaction, failing to capture the dynamic nature of human trait inference.</w:t>
      </w:r>
    </w:p>
    <w:p>
      <w:r>
        <w:rPr>
          <w:i/>
        </w:rPr>
        <w:t xml:space="preserve">   </w:t>
      </w:r>
      <w:r>
        <w:rPr>
          <w:i/>
        </w:rPr>
        <w:t>Our Contribution</w:t>
      </w:r>
      <w:r>
        <w:rPr>
          <w:i/>
        </w:rPr>
        <w:t xml:space="preserve">: We implement </w:t>
      </w:r>
      <w:r>
        <w:rPr>
          <w:i/>
        </w:rPr>
        <w:t>dynamic personality modeling</w:t>
      </w:r>
      <w:r>
        <w:t>* as a continuous trait inference process. Unlike static profiling, our system continuously updates Big Five trait estimates based on linguistic cues throughout the interaction, mirroring human social cognition and allowing the system to refine its understanding as conversational evidence accumulates.</w:t>
      </w:r>
    </w:p>
    <w:p>
      <w:r>
        <w:t xml:space="preserve">2.  </w:t>
      </w:r>
      <w:r>
        <w:rPr>
          <w:b/>
        </w:rPr>
        <w:t>Theoretical Gap</w:t>
      </w:r>
      <w:r>
        <w:t>: Current approaches lack deep cognitive-motivational grounding, often mapping traits to surface-level linguistic style rather than underlying motivational systems.</w:t>
      </w:r>
    </w:p>
    <w:p>
      <w:r>
        <w:rPr>
          <w:i/>
        </w:rPr>
        <w:t xml:space="preserve">   </w:t>
      </w:r>
      <w:r>
        <w:rPr>
          <w:i/>
        </w:rPr>
        <w:t>Our Contribution</w:t>
      </w:r>
      <w:r>
        <w:rPr>
          <w:i/>
        </w:rPr>
        <w:t xml:space="preserve">: We operationalize a </w:t>
      </w:r>
      <w:r>
        <w:rPr>
          <w:i/>
        </w:rPr>
        <w:t>theoretically grounded architecture</w:t>
      </w:r>
      <w:r>
        <w:t>* based on the Zurich Model of Social Motivation. We explicitly map detected Big Five traits to behavioral adaptations across security, arousal, and affiliation domains, ensuring that adaptations are driven by established psychological principles rather than ad-hoc rules.</w:t>
      </w:r>
    </w:p>
    <w:p>
      <w:r>
        <w:t xml:space="preserve">3.  </w:t>
      </w:r>
      <w:r>
        <w:rPr>
          <w:b/>
        </w:rPr>
        <w:t>Methodological Gap</w:t>
      </w:r>
      <w:r>
        <w:t>: There is an absence of reproducible, theoretically grounded orchestration frameworks validated by rigorous comparison between scalable AI metrics and human expert judgment.</w:t>
      </w:r>
    </w:p>
    <w:p>
      <w:r>
        <w:rPr>
          <w:i/>
        </w:rPr>
        <w:t xml:space="preserve">   </w:t>
      </w:r>
      <w:r>
        <w:rPr>
          <w:i/>
        </w:rPr>
        <w:t>Our Contribution</w:t>
      </w:r>
      <w:r>
        <w:rPr>
          <w:i/>
        </w:rPr>
        <w:t xml:space="preserve">: We establish </w:t>
      </w:r>
      <w:r>
        <w:rPr>
          <w:i/>
        </w:rPr>
        <w:t>validated assessment rigor</w:t>
      </w:r>
      <w:r>
        <w:t>* by implementing a hybrid evaluation protocol. We combine the scalability of an LLM-based evaluator with the validity assurance of independent ratings from PhD-level clinical psychology and computer science experts, demonstrating strong agreement (Cohen's κ = 0.89) to provide a validated methodological template.</w:t>
      </w:r>
    </w:p>
    <w:p>
      <w:r>
        <w:t>By integrating these elements into a reproducible testbed, this study aims to move beyond preliminary feasibility demonstrations toward robust, theoretically principled, and rigorously evaluated personality-adaptive mental health interventions.</w:t>
      </w:r>
    </w:p>
    <w:p>
      <w:pPr>
        <w:pStyle w:val="Heading1"/>
      </w:pPr>
      <w:r>
        <w:t>3. Materials and Methods</w:t>
      </w:r>
    </w:p>
    <w:p>
      <w:r>
        <w:t>This study evaluates a personality-adaptive conversational system under controlled simulation conditions. We compare a regulated assistant that performs real-time Big Five inference and Zurich Model–aligned behavior regulation against a non-adaptive baseline. All conditions use standardized simulated personas, a fixed dialogue structure, and a structured evaluation rubric with human-expert validation.</w:t>
      </w:r>
    </w:p>
    <w:p>
      <w:pPr>
        <w:pStyle w:val="Heading2"/>
      </w:pPr>
      <w:r>
        <w:t>3.1. Study aims, design, and simulated setting</w:t>
      </w:r>
    </w:p>
    <w:p>
      <w:r>
        <w:t>The primary aim is to test whether personality-adaptive regulation improves the assistant’s ability to address personality-specific psychological needs while maintaining basic conversational quality. We used a 2×2 factorial design crossing assistant type (regulated vs. baseline) and persona type (Type A vs. Type B).</w:t>
      </w:r>
    </w:p>
    <w:p>
      <w:r>
        <w:t>Twenty independent agent instances were run (10 per persona type). Each agent generated a six-turn dialogue, yielding 120 dialogue turns for analysis. This proof-of-concept simulation uses extreme boundary-condition personas and scripted dialogue structure; findings should be interpreted as technical feasibility under controlled conditions rather than population-level estimates.</w:t>
      </w:r>
    </w:p>
    <w:p>
      <w:pPr>
        <w:pStyle w:val="Heading2"/>
      </w:pPr>
      <w:r>
        <w:t>3.2. Personas and dialogue construction</w:t>
      </w:r>
    </w:p>
    <w:p>
      <w:r>
        <w:t>We simulated two extreme Big Five profiles to stress-test the detection and regulation loop under high-signal conditions. Type A represents an extreme high profile across the Big Five dimensions; Type B represents the opposite extreme low profile. Persona prompts were iteratively refined to express stable trait-consistent language across dialogue turns while maintaining conversational naturalness.</w:t>
      </w:r>
    </w:p>
    <w:p>
      <w:r>
        <w:t>All conversations followed a standardized six-turn structure: (1) assistant opening, (2) persona response, (3) assistant response, (4) persona follow-up, (5) assistant response, and (6) persona closing. This structure balances interaction depth (to support trait inference) with controlled comparability across conditions.</w:t>
      </w:r>
    </w:p>
    <w:p>
      <w:pPr>
        <w:pStyle w:val="Heading2"/>
      </w:pPr>
      <w:r>
        <w:t>3.3. System and conditions (pipeline and what differs)</w:t>
      </w:r>
    </w:p>
    <w:p>
      <w:r>
        <w:t>The regulated system implements a modular pipeline that (i) infers a trinary Big Five vector \(\hat{P}=(O,C,E,A,N)\in\{-1,0,+1\}^5\), (ii) maps traits to Zurich Model–motivational adaptations, (iii) generates a response under the assembled behavioral constraints, and (iv) evaluates the resulting turn. The system is implemented within the PROMISE orchestration framework [7]. Trait detection components are integrated via Java (version 8.0; repository link to be provided upon publication). LLM calls use OpenAI GPT-4 with dedicated system prompts for detection, regulation, generation, and evaluation.</w:t>
      </w:r>
    </w:p>
    <w:tbl>
      <w:tblPr>
        <w:tblStyle w:val="LightGrid-Accent1"/>
        <w:tblW w:type="auto" w:w="0"/>
        <w:tblLayout w:type="autofit"/>
        <w:tblLook w:firstColumn="1" w:firstRow="1" w:lastColumn="0" w:lastRow="0" w:noHBand="0" w:noVBand="1" w:val="04A0"/>
      </w:tblPr>
      <w:tblGrid>
        <w:gridCol w:w="2563"/>
        <w:gridCol w:w="2563"/>
        <w:gridCol w:w="2563"/>
        <w:gridCol w:w="2563"/>
      </w:tblGrid>
      <w:tr>
        <w:tc>
          <w:tcPr>
            <w:tcW w:type="dxa" w:w="2563"/>
          </w:tcPr>
          <w:p>
            <w:pPr>
              <w:spacing w:after="0"/>
            </w:pPr>
            <w:r>
              <w:rPr>
                <w:rFonts w:ascii="Times New Roman" w:hAnsi="Times New Roman"/>
                <w:b/>
                <w:sz w:val="20"/>
              </w:rPr>
              <w:t>Module</w:t>
            </w:r>
          </w:p>
        </w:tc>
        <w:tc>
          <w:tcPr>
            <w:tcW w:type="dxa" w:w="2563"/>
          </w:tcPr>
          <w:p>
            <w:pPr>
              <w:spacing w:after="0"/>
            </w:pPr>
            <w:r>
              <w:rPr>
                <w:rFonts w:ascii="Times New Roman" w:hAnsi="Times New Roman"/>
                <w:b/>
                <w:sz w:val="20"/>
              </w:rPr>
              <w:t>Purpose</w:t>
            </w:r>
          </w:p>
        </w:tc>
        <w:tc>
          <w:tcPr>
            <w:tcW w:type="dxa" w:w="2563"/>
          </w:tcPr>
          <w:p>
            <w:pPr>
              <w:spacing w:after="0"/>
            </w:pPr>
            <w:r>
              <w:rPr>
                <w:rFonts w:ascii="Times New Roman" w:hAnsi="Times New Roman"/>
                <w:b/>
                <w:sz w:val="20"/>
              </w:rPr>
              <w:t>Inputs</w:t>
            </w:r>
          </w:p>
        </w:tc>
        <w:tc>
          <w:tcPr>
            <w:tcW w:type="dxa" w:w="2563"/>
          </w:tcPr>
          <w:p>
            <w:pPr>
              <w:spacing w:after="0"/>
            </w:pPr>
            <w:r>
              <w:rPr>
                <w:rFonts w:ascii="Times New Roman" w:hAnsi="Times New Roman"/>
                <w:b/>
                <w:sz w:val="20"/>
              </w:rPr>
              <w:t>Outputs</w:t>
            </w:r>
          </w:p>
        </w:tc>
      </w:tr>
      <w:tr>
        <w:tc>
          <w:tcPr>
            <w:tcW w:type="dxa" w:w="2563"/>
          </w:tcPr>
          <w:p>
            <w:pPr>
              <w:spacing w:after="0"/>
            </w:pPr>
            <w:r>
              <w:rPr>
                <w:rFonts w:ascii="Times New Roman" w:hAnsi="Times New Roman"/>
                <w:sz w:val="20"/>
              </w:rPr>
              <w:t>Detection (D)</w:t>
            </w:r>
          </w:p>
        </w:tc>
        <w:tc>
          <w:tcPr>
            <w:tcW w:type="dxa" w:w="2563"/>
          </w:tcPr>
          <w:p>
            <w:pPr>
              <w:spacing w:after="0"/>
            </w:pPr>
            <w:r>
              <w:rPr>
                <w:rFonts w:ascii="Times New Roman" w:hAnsi="Times New Roman"/>
                <w:sz w:val="20"/>
              </w:rPr>
              <w:t>Infer Big Five traits from text</w:t>
            </w:r>
          </w:p>
        </w:tc>
        <w:tc>
          <w:tcPr>
            <w:tcW w:type="dxa" w:w="2563"/>
          </w:tcPr>
          <w:p>
            <w:pPr>
              <w:spacing w:after="0"/>
            </w:pPr>
            <w:r>
              <w:rPr>
                <w:rFonts w:ascii="Times New Roman" w:hAnsi="Times New Roman"/>
                <w:sz w:val="20"/>
              </w:rPr>
              <w:t>Current persona message + conversation context</w:t>
            </w:r>
          </w:p>
        </w:tc>
        <w:tc>
          <w:tcPr>
            <w:tcW w:type="dxa" w:w="2563"/>
          </w:tcPr>
          <w:p>
            <w:pPr>
              <w:spacing w:after="0"/>
            </w:pPr>
            <w:r>
              <w:rPr>
                <w:rFonts w:ascii="Times New Roman" w:hAnsi="Times New Roman"/>
                <w:sz w:val="20"/>
              </w:rPr>
              <w:t>\(\hat{P}\) (trinary OCEAN)</w:t>
            </w:r>
          </w:p>
        </w:tc>
      </w:tr>
      <w:tr>
        <w:tc>
          <w:tcPr>
            <w:tcW w:type="dxa" w:w="2563"/>
          </w:tcPr>
          <w:p>
            <w:pPr>
              <w:spacing w:after="0"/>
            </w:pPr>
            <w:r>
              <w:rPr>
                <w:rFonts w:ascii="Times New Roman" w:hAnsi="Times New Roman"/>
                <w:sz w:val="20"/>
              </w:rPr>
              <w:t>Regulation (R)</w:t>
            </w:r>
          </w:p>
        </w:tc>
        <w:tc>
          <w:tcPr>
            <w:tcW w:type="dxa" w:w="2563"/>
          </w:tcPr>
          <w:p>
            <w:pPr>
              <w:spacing w:after="0"/>
            </w:pPr>
            <w:r>
              <w:rPr>
                <w:rFonts w:ascii="Times New Roman" w:hAnsi="Times New Roman"/>
                <w:sz w:val="20"/>
              </w:rPr>
              <w:t>Map traits to Zurich Model domains</w:t>
            </w:r>
          </w:p>
        </w:tc>
        <w:tc>
          <w:tcPr>
            <w:tcW w:type="dxa" w:w="2563"/>
          </w:tcPr>
          <w:p>
            <w:pPr>
              <w:spacing w:after="0"/>
            </w:pPr>
            <w:r>
              <w:rPr>
                <w:rFonts w:ascii="Times New Roman" w:hAnsi="Times New Roman"/>
                <w:sz w:val="20"/>
              </w:rPr>
              <w:t>\(\hat{P}\)</w:t>
            </w:r>
          </w:p>
        </w:tc>
        <w:tc>
          <w:tcPr>
            <w:tcW w:type="dxa" w:w="2563"/>
          </w:tcPr>
          <w:p>
            <w:pPr>
              <w:spacing w:after="0"/>
            </w:pPr>
            <w:r>
              <w:rPr>
                <w:rFonts w:ascii="Times New Roman" w:hAnsi="Times New Roman"/>
                <w:sz w:val="20"/>
              </w:rPr>
              <w:t>Trait-aligned behavioral instructions</w:t>
            </w:r>
          </w:p>
        </w:tc>
      </w:tr>
      <w:tr>
        <w:tc>
          <w:tcPr>
            <w:tcW w:type="dxa" w:w="2563"/>
          </w:tcPr>
          <w:p>
            <w:pPr>
              <w:spacing w:after="0"/>
            </w:pPr>
            <w:r>
              <w:rPr>
                <w:rFonts w:ascii="Times New Roman" w:hAnsi="Times New Roman"/>
                <w:sz w:val="20"/>
              </w:rPr>
              <w:t>Generation (G)</w:t>
            </w:r>
          </w:p>
        </w:tc>
        <w:tc>
          <w:tcPr>
            <w:tcW w:type="dxa" w:w="2563"/>
          </w:tcPr>
          <w:p>
            <w:pPr>
              <w:spacing w:after="0"/>
            </w:pPr>
            <w:r>
              <w:rPr>
                <w:rFonts w:ascii="Times New Roman" w:hAnsi="Times New Roman"/>
                <w:sz w:val="20"/>
              </w:rPr>
              <w:t>Produce assistant response</w:t>
            </w:r>
          </w:p>
        </w:tc>
        <w:tc>
          <w:tcPr>
            <w:tcW w:type="dxa" w:w="2563"/>
          </w:tcPr>
          <w:p>
            <w:pPr>
              <w:spacing w:after="0"/>
            </w:pPr>
            <w:r>
              <w:rPr>
                <w:rFonts w:ascii="Times New Roman" w:hAnsi="Times New Roman"/>
                <w:sz w:val="20"/>
              </w:rPr>
              <w:t>System prompt + assembled regulation instructions + dialogue context</w:t>
            </w:r>
          </w:p>
        </w:tc>
        <w:tc>
          <w:tcPr>
            <w:tcW w:type="dxa" w:w="2563"/>
          </w:tcPr>
          <w:p>
            <w:pPr>
              <w:spacing w:after="0"/>
            </w:pPr>
            <w:r>
              <w:rPr>
                <w:rFonts w:ascii="Times New Roman" w:hAnsi="Times New Roman"/>
                <w:sz w:val="20"/>
              </w:rPr>
              <w:t>Assistant response text</w:t>
            </w:r>
          </w:p>
        </w:tc>
      </w:tr>
      <w:tr>
        <w:tc>
          <w:tcPr>
            <w:tcW w:type="dxa" w:w="2563"/>
          </w:tcPr>
          <w:p>
            <w:pPr>
              <w:spacing w:after="0"/>
            </w:pPr>
            <w:r>
              <w:rPr>
                <w:rFonts w:ascii="Times New Roman" w:hAnsi="Times New Roman"/>
                <w:sz w:val="20"/>
              </w:rPr>
              <w:t>Evaluation (E)</w:t>
            </w:r>
          </w:p>
        </w:tc>
        <w:tc>
          <w:tcPr>
            <w:tcW w:type="dxa" w:w="2563"/>
          </w:tcPr>
          <w:p>
            <w:pPr>
              <w:spacing w:after="0"/>
            </w:pPr>
            <w:r>
              <w:rPr>
                <w:rFonts w:ascii="Times New Roman" w:hAnsi="Times New Roman"/>
                <w:sz w:val="20"/>
              </w:rPr>
              <w:t>Score response quality and personalization</w:t>
            </w:r>
          </w:p>
        </w:tc>
        <w:tc>
          <w:tcPr>
            <w:tcW w:type="dxa" w:w="2563"/>
          </w:tcPr>
          <w:p>
            <w:pPr>
              <w:spacing w:after="0"/>
            </w:pPr>
            <w:r>
              <w:rPr>
                <w:rFonts w:ascii="Times New Roman" w:hAnsi="Times New Roman"/>
                <w:sz w:val="20"/>
              </w:rPr>
              <w:t>Persona message + assistant response</w:t>
            </w:r>
          </w:p>
        </w:tc>
        <w:tc>
          <w:tcPr>
            <w:tcW w:type="dxa" w:w="2563"/>
          </w:tcPr>
          <w:p>
            <w:pPr>
              <w:spacing w:after="0"/>
            </w:pPr>
            <w:r>
              <w:rPr>
                <w:rFonts w:ascii="Times New Roman" w:hAnsi="Times New Roman"/>
                <w:sz w:val="20"/>
              </w:rPr>
              <w:t>Structured rubric scores</w:t>
            </w:r>
          </w:p>
        </w:tc>
      </w:tr>
    </w:tbl>
    <w:p/>
    <w:p>
      <w:r>
        <w:rPr>
          <w:b/>
        </w:rPr>
        <w:t>Regulated vs. baseline</w:t>
      </w:r>
      <w:r>
        <w:t>: Regulated agents receive trait-conditioned regulation instructions updated per turn; baseline agents receive a static supportive prompt without personality-specific adaptation. Persona inputs and dialogue structure are held constant across conditions.</w:t>
      </w:r>
    </w:p>
    <w:p>
      <w:pPr>
        <w:pStyle w:val="Heading2"/>
      </w:pPr>
      <w:r>
        <w:t>3.4. Trait-to-regulation mapping (Zurich Model)</w:t>
      </w:r>
    </w:p>
    <w:p>
      <w:r>
        <w:t>Regulation maps Big Five traits to Zurich Model motivational domains [10]: Security (primarily Neuroticism-related support needs), Arousal (Openness/Extraversion-related stimulation preferences), and Affiliation (Agreeableness-related relational stance). For each non-neutral trait value, the system retrieves a corresponding regulation instruction and assembles an integrated instruction set. When traits imply potentially conflicting behaviors, instructions are harmonized into a single coherent response style (e.g., high Openness with low Extraversion yields exploration framed in a calm, reflective manner).</w:t>
      </w:r>
    </w:p>
    <w:p>
      <w:r>
        <w:t>Table 1. Trait-to-Regulation Mapping Based on Zurich Model</w:t>
      </w:r>
    </w:p>
    <w:p>
      <w:pPr>
        <w:pStyle w:val="Heading2"/>
      </w:pPr>
      <w:r>
        <w:t>3.5. Outcomes and evaluation rubric</w:t>
      </w:r>
    </w:p>
    <w:p>
      <w:r>
        <w:t>Assistant responses were evaluated using a trinary rubric (Yes = 2, Not Sure = 1, No = 0). Regulated agents were assessed across five criteria: Detection Accuracy, Regulation Effectiveness, Emotional Tone, Relevance &amp; Coherence, and Personality Needs Addressed. Baseline agents were assessed on conversational quality and personalization criteria (Emotional Tone, Relevance &amp; Coherence, Personality Needs Addressed) because they do not implement explicit detection/regulation mechanisms.</w:t>
      </w:r>
    </w:p>
    <w:p>
      <w:r>
        <w:t>To reduce evaluator bias, the evaluator prompt enforces structured scoring, requires citing observable dialogue evidence, and instructs the evaluator to ignore any condition labels or pre-marked scores.</w:t>
      </w:r>
    </w:p>
    <w:p>
      <w:pPr>
        <w:pStyle w:val="Heading2"/>
      </w:pPr>
      <w:r>
        <w:t>3.6. Human-expert validation of evaluator judgments</w:t>
      </w:r>
    </w:p>
    <w:p>
      <w:r>
        <w:t>Because the evaluation pipeline uses an AI evaluator to score AI-generated responses, we validated evaluator judgments against independent expert ratings. Two PhD-level in-house researchers (clinical psychology; computer science with clinical psychology minor) independently evaluated a stratified random sample of 30 dialogue turns (25% of the 120-turn dataset). Stratification balanced (i) condition (regulated/baseline), (ii) persona type (A/B), and (iii) turn position (early/mid/late).</w:t>
      </w:r>
    </w:p>
    <w:tbl>
      <w:tblPr>
        <w:tblStyle w:val="LightGrid-Accent1"/>
        <w:tblW w:type="auto" w:w="0"/>
        <w:tblLayout w:type="autofit"/>
        <w:tblLook w:firstColumn="1" w:firstRow="1" w:lastColumn="0" w:lastRow="0" w:noHBand="0" w:noVBand="1" w:val="04A0"/>
      </w:tblPr>
      <w:tblGrid>
        <w:gridCol w:w="3417"/>
        <w:gridCol w:w="3417"/>
        <w:gridCol w:w="3417"/>
      </w:tblGrid>
      <w:tr>
        <w:tc>
          <w:tcPr>
            <w:tcW w:type="dxa" w:w="3417"/>
          </w:tcPr>
          <w:p>
            <w:pPr>
              <w:spacing w:after="0"/>
            </w:pPr>
            <w:r>
              <w:rPr>
                <w:rFonts w:ascii="Times New Roman" w:hAnsi="Times New Roman"/>
                <w:b/>
                <w:sz w:val="20"/>
              </w:rPr>
              <w:t>Dimension</w:t>
            </w:r>
          </w:p>
        </w:tc>
        <w:tc>
          <w:tcPr>
            <w:tcW w:type="dxa" w:w="3417"/>
          </w:tcPr>
          <w:p>
            <w:pPr>
              <w:spacing w:after="0"/>
            </w:pPr>
            <w:r>
              <w:rPr>
                <w:rFonts w:ascii="Times New Roman" w:hAnsi="Times New Roman"/>
                <w:b/>
                <w:sz w:val="20"/>
              </w:rPr>
              <w:t>Expert 1</w:t>
            </w:r>
          </w:p>
        </w:tc>
        <w:tc>
          <w:tcPr>
            <w:tcW w:type="dxa" w:w="3417"/>
          </w:tcPr>
          <w:p>
            <w:pPr>
              <w:spacing w:after="0"/>
            </w:pPr>
            <w:r>
              <w:rPr>
                <w:rFonts w:ascii="Times New Roman" w:hAnsi="Times New Roman"/>
                <w:b/>
                <w:sz w:val="20"/>
              </w:rPr>
              <w:t>Expert 2</w:t>
            </w:r>
          </w:p>
        </w:tc>
      </w:tr>
      <w:tr>
        <w:tc>
          <w:tcPr>
            <w:tcW w:type="dxa" w:w="3417"/>
          </w:tcPr>
          <w:p>
            <w:pPr>
              <w:spacing w:after="0"/>
            </w:pPr>
            <w:r>
              <w:rPr>
                <w:rFonts w:ascii="Times New Roman" w:hAnsi="Times New Roman"/>
                <w:sz w:val="20"/>
              </w:rPr>
              <w:t>Degree</w:t>
            </w:r>
          </w:p>
        </w:tc>
        <w:tc>
          <w:tcPr>
            <w:tcW w:type="dxa" w:w="3417"/>
          </w:tcPr>
          <w:p>
            <w:pPr>
              <w:spacing w:after="0"/>
            </w:pPr>
            <w:r>
              <w:rPr>
                <w:rFonts w:ascii="Times New Roman" w:hAnsi="Times New Roman"/>
                <w:sz w:val="20"/>
              </w:rPr>
              <w:t>PhD in Clinical Psychology</w:t>
            </w:r>
          </w:p>
        </w:tc>
        <w:tc>
          <w:tcPr>
            <w:tcW w:type="dxa" w:w="3417"/>
          </w:tcPr>
          <w:p>
            <w:pPr>
              <w:spacing w:after="0"/>
            </w:pPr>
            <w:r>
              <w:rPr>
                <w:rFonts w:ascii="Times New Roman" w:hAnsi="Times New Roman"/>
                <w:sz w:val="20"/>
              </w:rPr>
              <w:t>PhD in Computer Science</w:t>
            </w:r>
          </w:p>
        </w:tc>
      </w:tr>
      <w:tr>
        <w:tc>
          <w:tcPr>
            <w:tcW w:type="dxa" w:w="3417"/>
          </w:tcPr>
          <w:p>
            <w:pPr>
              <w:spacing w:after="0"/>
            </w:pPr>
            <w:r>
              <w:rPr>
                <w:rFonts w:ascii="Times New Roman" w:hAnsi="Times New Roman"/>
                <w:sz w:val="20"/>
              </w:rPr>
              <w:t>Specialization</w:t>
            </w:r>
          </w:p>
        </w:tc>
        <w:tc>
          <w:tcPr>
            <w:tcW w:type="dxa" w:w="3417"/>
          </w:tcPr>
          <w:p>
            <w:pPr>
              <w:spacing w:after="0"/>
            </w:pPr>
            <w:r>
              <w:rPr>
                <w:rFonts w:ascii="Times New Roman" w:hAnsi="Times New Roman"/>
                <w:sz w:val="20"/>
              </w:rPr>
              <w:t>Mental Health Interventions</w:t>
            </w:r>
          </w:p>
        </w:tc>
        <w:tc>
          <w:tcPr>
            <w:tcW w:type="dxa" w:w="3417"/>
          </w:tcPr>
          <w:p>
            <w:pPr>
              <w:spacing w:after="0"/>
            </w:pPr>
            <w:r>
              <w:rPr>
                <w:rFonts w:ascii="Times New Roman" w:hAnsi="Times New Roman"/>
                <w:sz w:val="20"/>
              </w:rPr>
              <w:t>AI-based Healthcare Systems</w:t>
            </w:r>
          </w:p>
        </w:tc>
      </w:tr>
      <w:tr>
        <w:tc>
          <w:tcPr>
            <w:tcW w:type="dxa" w:w="3417"/>
          </w:tcPr>
          <w:p>
            <w:pPr>
              <w:spacing w:after="0"/>
            </w:pPr>
            <w:r>
              <w:rPr>
                <w:rFonts w:ascii="Times New Roman" w:hAnsi="Times New Roman"/>
                <w:sz w:val="20"/>
              </w:rPr>
              <w:t>Years of Experience</w:t>
            </w:r>
          </w:p>
        </w:tc>
        <w:tc>
          <w:tcPr>
            <w:tcW w:type="dxa" w:w="3417"/>
          </w:tcPr>
          <w:p>
            <w:pPr>
              <w:spacing w:after="0"/>
            </w:pPr>
            <w:r>
              <w:rPr>
                <w:rFonts w:ascii="Times New Roman" w:hAnsi="Times New Roman"/>
                <w:sz w:val="20"/>
              </w:rPr>
              <w:t>14 years</w:t>
            </w:r>
          </w:p>
        </w:tc>
        <w:tc>
          <w:tcPr>
            <w:tcW w:type="dxa" w:w="3417"/>
          </w:tcPr>
          <w:p>
            <w:pPr>
              <w:spacing w:after="0"/>
            </w:pPr>
            <w:r>
              <w:rPr>
                <w:rFonts w:ascii="Times New Roman" w:hAnsi="Times New Roman"/>
                <w:sz w:val="20"/>
              </w:rPr>
              <w:t>10 years</w:t>
            </w:r>
          </w:p>
        </w:tc>
      </w:tr>
      <w:tr>
        <w:tc>
          <w:tcPr>
            <w:tcW w:type="dxa" w:w="3417"/>
          </w:tcPr>
          <w:p>
            <w:pPr>
              <w:spacing w:after="0"/>
            </w:pPr>
            <w:r>
              <w:rPr>
                <w:rFonts w:ascii="Times New Roman" w:hAnsi="Times New Roman"/>
                <w:sz w:val="20"/>
              </w:rPr>
              <w:t>Primary Expertise Domain</w:t>
            </w:r>
          </w:p>
        </w:tc>
        <w:tc>
          <w:tcPr>
            <w:tcW w:type="dxa" w:w="3417"/>
          </w:tcPr>
          <w:p>
            <w:pPr>
              <w:spacing w:after="0"/>
            </w:pPr>
            <w:r>
              <w:rPr>
                <w:rFonts w:ascii="Times New Roman" w:hAnsi="Times New Roman"/>
                <w:sz w:val="20"/>
              </w:rPr>
              <w:t>Clinical/Psychological assessment</w:t>
            </w:r>
          </w:p>
        </w:tc>
        <w:tc>
          <w:tcPr>
            <w:tcW w:type="dxa" w:w="3417"/>
          </w:tcPr>
          <w:p>
            <w:pPr>
              <w:spacing w:after="0"/>
            </w:pPr>
            <w:r>
              <w:rPr>
                <w:rFonts w:ascii="Times New Roman" w:hAnsi="Times New Roman"/>
                <w:sz w:val="20"/>
              </w:rPr>
              <w:t>Technical/AI methodology</w:t>
            </w:r>
          </w:p>
        </w:tc>
      </w:tr>
    </w:tbl>
    <w:p/>
    <w:p>
      <w:r>
        <w:t>Experts applied the same rubric as the evaluator and were blinded to condition assignment, persona type, and evaluator scores. Agreement was quantified using Krippendorff’s \(\alpha\) (expert–expert reliability) and Cohen’s \(\kappa\) (evaluator vs. consensus expert ratings), with confidence intervals reported.</w:t>
      </w:r>
    </w:p>
    <w:p>
      <w:pPr>
        <w:pStyle w:val="Heading2"/>
      </w:pPr>
      <w:r>
        <w:t>3.7. Statistical analysis</w:t>
      </w:r>
    </w:p>
    <w:p>
      <w:r>
        <w:t>We summarize rubric scores using descriptive statistics and compare regulated vs. baseline performance using both parametric (independent t-tests) and non-parametric (Mann–Whitney U) tests. Effect sizes are reported using Cohen’s \(d\), with confidence intervals estimated via bias-corrected bootstrap (10,000 iterations). Given the deterministic simulation design (extreme personas, scripted dialogue), inferential statistics are included for methodological completeness and comparability with related work; interpretation emphasizes effect sizes and design limitations rather than population generalization.</w:t>
      </w:r>
    </w:p>
    <w:p>
      <w:pPr>
        <w:pStyle w:val="Heading2"/>
      </w:pPr>
      <w:r>
        <w:t>3.8. Ethics statement</w:t>
      </w:r>
    </w:p>
    <w:p>
      <w:r>
        <w:t>No human subjects were involved; all dialogues were simulated and non-identifiable. The study did not require ethics committee approval. Ethical considerations focused on prompt safety and evaluation neutrality, including guardrails for respectful, non-intrusive support and bias prevention instructions for the evaluator. Future extensions involving real users will require IRB approval, informed consent, and clinical safety monitoring.</w:t>
      </w:r>
    </w:p>
    <w:p>
      <w:pPr>
        <w:pStyle w:val="Heading2"/>
      </w:pPr>
      <w:r>
        <w:t>3.9. Study design diagrams</w:t>
      </w:r>
    </w:p>
    <w:p>
      <w:r>
        <w:rPr>
          <w:b/>
        </w:rPr>
        <w:t>[Figure 10 near here]</w:t>
      </w:r>
    </w:p>
    <w:p>
      <w:r>
        <w:rPr>
          <w:b/>
        </w:rPr>
        <w:t>Figure 10.</w:t>
      </w:r>
      <w:r>
        <w:t xml:space="preserve"> 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r>
        <w:rPr>
          <w:b/>
        </w:rPr>
        <w:t>[Figure 11 near here]</w:t>
      </w:r>
    </w:p>
    <w:p>
      <w:r>
        <w:rPr>
          <w:b/>
        </w:rPr>
        <w:t>Figure 11.</w:t>
      </w:r>
      <w:r>
        <w:t xml:space="preserve"> 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4. Results</w:t>
      </w:r>
    </w:p>
    <w:p>
      <w:pPr>
        <w:pStyle w:val="Heading2"/>
      </w:pPr>
      <w:r>
        <w:t>4.1. Overview of Results</w:t>
      </w:r>
    </w:p>
    <w:p>
      <w:r>
        <w:t>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r>
        <w:rPr>
          <w:b/>
        </w:rPr>
        <w:t>Key Finding Preview</w:t>
      </w:r>
      <w:r>
        <w:t>: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p>
      <w:pPr>
        <w:pStyle w:val="Heading2"/>
      </w:pPr>
      <w:r>
        <w:t>4.2. 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r>
        <w:rPr>
          <w:b/>
        </w:rPr>
        <w:t>[Figure 1 near here]</w:t>
      </w:r>
    </w:p>
    <w:p>
      <w:r>
        <w:rPr>
          <w:b/>
        </w:rPr>
        <w:t>Figure 1.</w:t>
      </w:r>
      <w:r>
        <w:t xml:space="preserve"> 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r>
        <w:t>Data quality assessment revealed minimal missing data (&lt;2%) across all evaluation metrics, with no systematic patterns of missingness by condition or personality type (Figure 2).</w:t>
      </w:r>
    </w:p>
    <w:p>
      <w:r>
        <w:rPr>
          <w:b/>
        </w:rPr>
        <w:t>[Figure 2 near here]</w:t>
      </w:r>
    </w:p>
    <w:p>
      <w:r>
        <w:rPr>
          <w:b/>
        </w:rPr>
        <w:t>Figure 2.</w:t>
      </w:r>
      <w:r>
        <w:t xml:space="preserve"> Missing data heatmap across evaluation metrics and experimental conditions. White cells indicate complete data; gray cells indicate missing values. Overall missingness rate: 1.7%. No systematic bias detected by condition or personality type.</w:t>
      </w:r>
    </w:p>
    <w:p>
      <w:pPr>
        <w:pStyle w:val="Heading2"/>
      </w:pPr>
      <w:r>
        <w:t>4.3. Detection and Regulation Performance</w:t>
      </w:r>
    </w:p>
    <w:p>
      <w:r>
        <w:t>Regulated agents achieved near-perfect performance on the core technical requirements of personality detection and regulation implementation.</w:t>
      </w:r>
    </w:p>
    <w:p>
      <w:r>
        <w:rPr>
          <w:b/>
        </w:rPr>
        <w:t>Table 1.</w:t>
      </w:r>
      <w:r>
        <w:t xml:space="preserve"> Detection and Regulation Performance Summary</w:t>
      </w:r>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r>
        <w:rPr>
          <w:b/>
        </w:rPr>
        <w:t>What This Means</w:t>
      </w:r>
      <w:r>
        <w:t xml:space="preserve">: Perfect technical performance establishes that the system </w:t>
      </w:r>
      <w:r>
        <w:rPr>
          <w:i/>
        </w:rPr>
        <w:t>can</w:t>
      </w:r>
      <w:r>
        <w:t xml:space="preserve"> 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p>
      <w:pPr>
        <w:pStyle w:val="Heading2"/>
      </w:pPr>
      <w:r>
        <w:t>4.4. 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Table 2.</w:t>
      </w:r>
      <w:r>
        <w:t xml:space="preserve"> Statistical Comparison of Regulated vs. Baseline Agents Across Evaluation Metrics</w:t>
      </w:r>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4.3.1. 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4.4. Personality Vector Analysis</w:t>
      </w:r>
    </w:p>
    <w:p>
      <w:r>
        <w:t>Analysis of detected personality vectors revealed consistent trait patterns across dialogue turns. Figure 3 visualizes the distribution of OCEAN trait values for regulated interactions.</w:t>
      </w:r>
    </w:p>
    <w:p>
      <w:r>
        <w:rPr>
          <w:b/>
        </w:rPr>
        <w:t>[Figure 3 near here]</w:t>
      </w:r>
    </w:p>
    <w:p>
      <w:r>
        <w:rPr>
          <w:b/>
        </w:rPr>
        <w:t>Figure 3.</w:t>
      </w:r>
      <w:r>
        <w:t xml:space="preserve"> 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r>
        <w:t>Figure 4 presents a heatmap visualization of personality patterns across individual agent instances, demonstrating the consistency of personality expression within profiles and clear differentiation between Type A and Type B profiles.</w:t>
      </w:r>
    </w:p>
    <w:p>
      <w:r>
        <w:rPr>
          <w:b/>
        </w:rPr>
        <w:t>[Figure 4 near here]</w:t>
      </w:r>
    </w:p>
    <w:p>
      <w:r>
        <w:rPr>
          <w:b/>
        </w:rPr>
        <w:t>Figure 4.</w:t>
      </w:r>
      <w:r>
        <w:t xml:space="preserve"> 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pStyle w:val="Heading2"/>
      </w:pPr>
      <w:r>
        <w:t>4.5.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r>
        <w:rPr>
          <w:b/>
        </w:rPr>
        <w:t>[Figure 5 near here]</w:t>
      </w:r>
    </w:p>
    <w:p>
      <w:r>
        <w:rPr>
          <w:b/>
        </w:rPr>
        <w:t>Figure 5.</w:t>
      </w:r>
      <w:r>
        <w:t xml:space="preserve"> Performance comparison across evaluation metrics (Regulated vs. Baseline). Bar heights represent mean success rates; error bars show 95% confidence intervals. Asterisks indicate statistical significance: </w:t>
      </w:r>
      <w:r>
        <w:rPr>
          <w:b/>
        </w:rPr>
        <w:t>p &lt; 0.001; ns = not significant (p &gt; 0.05). Regulated agents show dramatic advantage specifically in Personality Needs Addressed (</w:t>
      </w:r>
      <w:r>
        <w:t>*) while maintaining equivalent performance on basic quality metrics (Emotional Tone, Relevance &amp; Coherence).</w:t>
      </w:r>
    </w:p>
    <w:p>
      <w:pPr>
        <w:pStyle w:val="Heading2"/>
      </w:pPr>
      <w:r>
        <w:t>4.6. Effect Size Analysis</w:t>
      </w:r>
    </w:p>
    <w:p>
      <w:r>
        <w:t>Figure 6 visualizes the effect sizes (Cohen's d) for each evaluation metric, highlighting the magnitude of performance differences.</w:t>
      </w:r>
    </w:p>
    <w:p>
      <w:r>
        <w:rPr>
          <w:b/>
        </w:rPr>
        <w:t>[Figure 6 near here]</w:t>
      </w:r>
    </w:p>
    <w:p>
      <w:r>
        <w:rPr>
          <w:b/>
        </w:rPr>
        <w:t>Figure 6.</w:t>
      </w:r>
      <w:r>
        <w:t xml:space="preserve"> 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r>
        <w:t>Figure 7 presents the percentage improvement across metrics, providing an alternative visualization of the selective enhancement pattern.</w:t>
      </w:r>
    </w:p>
    <w:p>
      <w:r>
        <w:rPr>
          <w:b/>
        </w:rPr>
        <w:t>[Figure 7 near here]</w:t>
      </w:r>
    </w:p>
    <w:p>
      <w:r>
        <w:rPr>
          <w:b/>
        </w:rPr>
        <w:t>Figure 7.</w:t>
      </w:r>
      <w:r>
        <w:t xml:space="preserve"> 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pStyle w:val="Heading2"/>
      </w:pPr>
      <w:r>
        <w:t>4.7. Weighted Scoring Analysis</w:t>
      </w:r>
    </w:p>
    <w:p>
      <w:r>
        <w:t>To provide additional quantitative perspective, we analyzed performance using a weighted scoring system where evaluations were scored as YES=2 points, NOT SURE=1 point, NO=0 points (Table 3).</w:t>
      </w:r>
    </w:p>
    <w:p>
      <w:r>
        <w:rPr>
          <w:b/>
        </w:rPr>
        <w:t>Table 3.</w:t>
      </w:r>
      <w:r>
        <w:t xml:space="preserve"> Weighted Score Performance Comparison (0-2 Scale)</w:t>
      </w:r>
    </w:p>
    <w:p>
      <w:r>
        <w:t>Figure 8 visualizes the weighted score distributions for each metric.</w:t>
      </w:r>
    </w:p>
    <w:p>
      <w:r>
        <w:rPr>
          <w:b/>
        </w:rPr>
        <w:t>[Figure 8 near here]</w:t>
      </w:r>
    </w:p>
    <w:p>
      <w:r>
        <w:rPr>
          <w:b/>
        </w:rPr>
        <w:t>Figure 8.</w:t>
      </w:r>
      <w:r>
        <w:t xml:space="preserve"> 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r>
        <w:t>Figure 9 provides a complementary visualization focusing on the total quality scores.</w:t>
      </w:r>
    </w:p>
    <w:p>
      <w:r>
        <w:rPr>
          <w:b/>
        </w:rPr>
        <w:t>[Figure 9 near here]</w:t>
      </w:r>
    </w:p>
    <w:p>
      <w:r>
        <w:rPr>
          <w:b/>
        </w:rPr>
        <w:t>Figure 9.</w:t>
      </w:r>
      <w:r>
        <w:t xml:space="preserve"> 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pStyle w:val="Heading2"/>
      </w:pPr>
      <w:r>
        <w:t>4.8. Statistical Robustness Analysis</w:t>
      </w:r>
    </w:p>
    <w:p>
      <w:r>
        <w:t>To ensure the robustness of our findings, we conducted both parametric (independent t-tests) and non-parametric (Mann-Whitney U) statistical tests. Table 4 summarizes the results of advanced statistical testing.</w:t>
      </w:r>
    </w:p>
    <w:p>
      <w:r>
        <w:rPr>
          <w:b/>
        </w:rPr>
        <w:t>Table 4.</w:t>
      </w:r>
      <w:r>
        <w:t xml:space="preserve"> Advanced Statistical Testing Results</w:t>
      </w:r>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4.9. 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4.10.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4.11. 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Clinical Implications and Path to Translation</w:t>
      </w:r>
    </w:p>
    <w:p>
      <w:r>
        <w:t>While this proof-of-concept demonstrates technical feasibility, translating these findings to clinical practice requires addressing several critical gaps:</w:t>
      </w:r>
    </w:p>
    <w:p>
      <w:r>
        <w:rPr>
          <w:b/>
        </w:rPr>
        <w:t>Patient Outcomes</w:t>
      </w:r>
      <w:r>
        <w:t>: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r>
        <w:rPr>
          <w:b/>
        </w:rPr>
        <w:t>Safety and Monitoring</w:t>
      </w:r>
      <w:r>
        <w:t>: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r>
        <w:rPr>
          <w:b/>
        </w:rPr>
        <w:t>Provider Integration</w:t>
      </w:r>
      <w:r>
        <w:t>: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r>
        <w:rPr>
          <w:b/>
        </w:rPr>
        <w:t>Regulatory and Ethical Requirements</w:t>
      </w:r>
      <w:r>
        <w:t>: Clinical deployment requires IRB approval, informed consent explaining AI limitations, HIPAA/GDPR compliance, FDA/EMA regulatory pathways (if classified as medical device), and transparent communication that this is supportive technology, not therapy.</w:t>
      </w:r>
    </w:p>
    <w:p>
      <w:r>
        <w:t xml:space="preserve">The pathway from simulation to clinical utility is long (estimated 2-3 years minimum) and uncertain. These findings establish </w:t>
      </w:r>
      <w:r>
        <w:rPr>
          <w:i/>
        </w:rPr>
        <w:t>what is technically possible</w:t>
      </w:r>
      <w:r>
        <w:t xml:space="preserve"> under ideal conditions, not </w:t>
      </w:r>
      <w:r>
        <w:rPr>
          <w:i/>
        </w:rPr>
        <w:t>what is safe or effective</w:t>
      </w:r>
      <w:r>
        <w:t xml:space="preserve"> for real patients.</w:t>
      </w:r>
    </w:p>
    <w:p>
      <w:pPr>
        <w:pStyle w:val="Heading2"/>
      </w:pPr>
      <w:r>
        <w:t>5.1. Principal Findings</w:t>
      </w:r>
    </w:p>
    <w:p>
      <w:r>
        <w:t>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r>
        <w:t>Taken together, these findings suggest that personality-adaptive mechanisms can be implemented reliably with current LLM technology under idealized conditions and that such mechanisms translate into substantive gains in personalization within the scope of the simulation.</w:t>
      </w:r>
    </w:p>
    <w:p>
      <w:pPr>
        <w:pStyle w:val="Heading2"/>
      </w:pPr>
      <w:r>
        <w:t>5.2. Interpretation of Perfect Performance</w:t>
      </w:r>
    </w:p>
    <w:p>
      <w:r>
        <w:t>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r>
        <w:t>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p>
      <w:pPr>
        <w:pStyle w:val="Heading2"/>
      </w:pPr>
      <w:r>
        <w:t>5.3. Comparison with Existing Literature</w:t>
      </w:r>
    </w:p>
    <w:p>
      <w:r>
        <w:t>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r>
        <w:t>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p>
      <w:pPr>
        <w:pStyle w:val="Heading2"/>
      </w:pPr>
      <w:r>
        <w:t>5.4. Implications for Research and Practice</w:t>
      </w:r>
    </w:p>
    <w:p>
      <w:r>
        <w:t>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p>
      <w:pPr>
        <w:pStyle w:val="Heading2"/>
      </w:pPr>
      <w:r>
        <w:t>5.5. Limitations and Future Work</w:t>
      </w:r>
    </w:p>
    <w:p>
      <w:r>
        <w:t>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p>
      <w:pPr>
        <w:pStyle w:val="Heading1"/>
      </w:pPr>
      <w:r>
        <w:t>6. Conclusions</w:t>
      </w:r>
    </w:p>
    <w:p>
      <w:r>
        <w:t>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r>
        <w:t>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r>
        <w:t>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r>
        <w:t>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p>
      <w:pPr>
        <w:pStyle w:val="Heading1"/>
      </w:pPr>
      <w:r>
        <w:t>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r>
        <w:t xml:space="preserve">[12] Alisamir, S.; Ringeval, F. (2021). On the evolution of speech representations for affective computing. </w:t>
      </w:r>
      <w:r>
        <w:rPr>
          <w:i/>
        </w:rPr>
        <w:t>arXiv preprint arXiv:2111.06078</w:t>
      </w:r>
      <w:r>
        <w:t>.</w:t>
      </w:r>
    </w:p>
    <w:p>
      <w:r>
        <w:t xml:space="preserve">[13] Alsharekh, M.F. (2022). Facial emotion recognition in verbal communication based on deep learning. </w:t>
      </w:r>
      <w:r>
        <w:rPr>
          <w:i/>
        </w:rPr>
        <w:t>Electronics</w:t>
      </w:r>
      <w:r>
        <w:t xml:space="preserve">, </w:t>
      </w:r>
      <w:r>
        <w:rPr>
          <w:i/>
        </w:rPr>
        <w:t>11</w:t>
      </w:r>
      <w:r>
        <w:t>(16), 2568. (Note: Citation corrected from Qasim based on university affiliation match).</w:t>
      </w:r>
    </w:p>
    <w:p>
      <w:r>
        <w:t xml:space="preserve">[14] Alberts, L. (2024). Should agentic conversational AI change how we think about ethics? Characterising an interactional ethics centred on respect. </w:t>
      </w:r>
      <w:r>
        <w:rPr>
          <w:i/>
        </w:rPr>
        <w:t>arXiv preprint arXiv:2401.09187</w:t>
      </w:r>
      <w:r>
        <w:t>.</w:t>
      </w:r>
    </w:p>
    <w:p>
      <w:r>
        <w:t xml:space="preserve">[15] Zheng, Z.; Liao, L.; Deng, Y.; &amp; Nie, L. (2023). Building emotional support chatbots in the era of LLMs. </w:t>
      </w:r>
      <w:r>
        <w:rPr>
          <w:i/>
        </w:rPr>
        <w:t>arXiv preprint arXiv:2308.11584</w:t>
      </w:r>
      <w:r>
        <w:t>.</w:t>
      </w:r>
    </w:p>
    <w:p>
      <w:r>
        <w:t xml:space="preserve">[16] Chen, K.; et al. (2023). Enhancing emotional support capabilities of large language models through cascaded neural networks. </w:t>
      </w:r>
      <w:r>
        <w:rPr>
          <w:i/>
        </w:rPr>
        <w:t>arXiv preprint</w:t>
      </w:r>
      <w:r>
        <w:t>.</w:t>
      </w:r>
    </w:p>
    <w:p>
      <w:r>
        <w:t xml:space="preserve">[17] Dong, T.; et al. (2024). EmoAda: A multimodal emotion interaction and psychological adaptation system. </w:t>
      </w:r>
      <w:r>
        <w:rPr>
          <w:i/>
        </w:rPr>
        <w:t>Lecture Notes in Computer Science</w:t>
      </w:r>
      <w:r>
        <w:t>.</w:t>
      </w:r>
    </w:p>
    <w:p>
      <w:r>
        <w:t xml:space="preserve">[18] Abbasian, M.; Azimi, I.; Rahmani, A.M.; &amp; Jain, R.C. (2023). Conversational health agents: A personalized LLM-powered agent framework. </w:t>
      </w:r>
      <w:r>
        <w:rPr>
          <w:i/>
        </w:rPr>
        <w:t>arXiv preprint arXiv:2310.02293</w:t>
      </w:r>
      <w:r>
        <w:t>.</w:t>
      </w:r>
    </w:p>
    <w:p>
      <w:r>
        <w:t xml:space="preserve">[19] Sorino, P.; et al. (2024). ARIEL: Brain-computer interfaces meet large language models for emotional support conversation. </w:t>
      </w:r>
      <w:r>
        <w:rPr>
          <w:i/>
        </w:rPr>
        <w:t>UMAP Adjunct '24</w:t>
      </w:r>
      <w:r>
        <w:t>.</w:t>
      </w:r>
    </w:p>
    <w:p>
      <w:r>
        <w:t xml:space="preserve">[20] Dongre, P.; et al. (2024). Physiology-driven empathic large language models (EmLLMs) for mental health support. </w:t>
      </w:r>
      <w:r>
        <w:rPr>
          <w:i/>
        </w:rPr>
        <w:t>arXiv preprint</w:t>
      </w:r>
      <w:r>
        <w:t>.</w:t>
      </w:r>
    </w:p>
    <w:p>
      <w:r>
        <w:t xml:space="preserve">[21] Ta, V.; Griffith, C.; Boatfield, C.; Wang, X.; Civitello, M.; &amp; Maffei, H. (2020). User experiences of social support from companion chatbots in everyday contexts: Thematic analysis. </w:t>
      </w:r>
      <w:r>
        <w:rPr>
          <w:i/>
        </w:rPr>
        <w:t>Journal of Medical Internet Research</w:t>
      </w:r>
      <w:r>
        <w:t xml:space="preserve">, </w:t>
      </w:r>
      <w:r>
        <w:rPr>
          <w:i/>
        </w:rPr>
        <w:t>22</w:t>
      </w:r>
      <w:r>
        <w:t>(3), e16235.</w:t>
      </w:r>
    </w:p>
    <w:p>
      <w:r>
        <w:t xml:space="preserve">[22] Broadbent, E.; et al. (2024). ElliQ, an AI-driven social robot to alleviate loneliness: Progress and lessons learned. </w:t>
      </w:r>
      <w:r>
        <w:rPr>
          <w:i/>
        </w:rPr>
        <w:t>JAR Life</w:t>
      </w:r>
      <w:r>
        <w:t>.</w:t>
      </w:r>
    </w:p>
    <w:p>
      <w:r>
        <w:t xml:space="preserve">[23] Shah, S.G.S.; et al. (2019). Effectiveness of digital technology interventions to reduce loneliness in adults: A protocol for a systematic review and meta-analysis. </w:t>
      </w:r>
      <w:r>
        <w:rPr>
          <w:i/>
        </w:rPr>
        <w:t>BMJ Open</w:t>
      </w:r>
      <w:r>
        <w:t xml:space="preserve">, </w:t>
      </w:r>
      <w:r>
        <w:rPr>
          <w:i/>
        </w:rPr>
        <w:t>9</w:t>
      </w:r>
      <w:r>
        <w:t>(9), e029324.</w:t>
      </w:r>
    </w:p>
    <w:p>
      <w:r>
        <w:t xml:space="preserve">[24] Shah, S.G.S.; et al. (2021). Evaluation of the effectiveness of digital technology interventions to reduce loneliness in older adults: Systematic review and meta-analysis. </w:t>
      </w:r>
      <w:r>
        <w:rPr>
          <w:i/>
        </w:rPr>
        <w:t>Journal of Medical Internet Research</w:t>
      </w:r>
      <w:r>
        <w:t xml:space="preserve">, </w:t>
      </w:r>
      <w:r>
        <w:rPr>
          <w:i/>
        </w:rPr>
        <w:t>23</w:t>
      </w:r>
      <w:r>
        <w:t>(6), e24712. (Note: Published 2021, cited as 2020/follow-up).</w:t>
      </w:r>
    </w:p>
    <w:p>
      <w:r>
        <w:t xml:space="preserve">[25] Zhang, H.; et al. (2024). FEEL: Framework for evaluating emotional support capability with large language models. </w:t>
      </w:r>
      <w:r>
        <w:rPr>
          <w:i/>
        </w:rPr>
        <w:t>arXiv preprint</w:t>
      </w:r>
      <w:r>
        <w:t>.</w:t>
      </w:r>
    </w:p>
    <w:p>
      <w:r>
        <w:t xml:space="preserve">[26] Berlyne, D.E. (1960). </w:t>
      </w:r>
      <w:r>
        <w:rPr>
          <w:i/>
        </w:rPr>
        <w:t>Conflict, arousal, and curiosity</w:t>
      </w:r>
      <w:r>
        <w:t>. McGraw-Hill.</w:t>
      </w:r>
    </w:p>
    <w:p>
      <w:r>
        <w:t xml:space="preserve">[27] Hebb, D.O. (1949). </w:t>
      </w:r>
      <w:r>
        <w:rPr>
          <w:i/>
        </w:rPr>
        <w:t>The organization of behavior: A neuropsychological theory</w:t>
      </w:r>
      <w:r>
        <w:t>. Wiley.</w:t>
      </w:r>
    </w:p>
    <w:p>
      <w:r>
        <w:t xml:space="preserve">[28] Bischof, N. (1985). </w:t>
      </w:r>
      <w:r>
        <w:rPr>
          <w:i/>
        </w:rPr>
        <w:t>Das Rätsel Ödipus: Die biologischen Wurzeln des Urkonfliktes</w:t>
      </w:r>
      <w:r>
        <w:t>. Piper.</w:t>
      </w:r>
    </w:p>
    <w:p>
      <w:r>
        <w:t xml:space="preserve">[29] Bischof, N. (1993). Untersuchungen zur Systemanalyse der sozialen Motivation I: Die Tantalus-Situation. </w:t>
      </w:r>
      <w:r>
        <w:rPr>
          <w:i/>
        </w:rPr>
        <w:t>Zeitschrift für Psychologie</w:t>
      </w:r>
      <w:r>
        <w:t xml:space="preserve">, </w:t>
      </w:r>
      <w:r>
        <w:rPr>
          <w:i/>
        </w:rPr>
        <w:t>201</w:t>
      </w:r>
      <w:r>
        <w:t>, 5-43.</w:t>
      </w:r>
    </w:p>
    <w:p>
      <w:r>
        <w:t xml:space="preserve">[30] Zhou, M.X.; et al. (2021). Designing effective interview chatbots: Automatic chatbot profiling and design suggestion generation. </w:t>
      </w:r>
      <w:r>
        <w:rPr>
          <w:i/>
        </w:rPr>
        <w:t>CHI '21</w:t>
      </w:r>
      <w:r>
        <w:t>.</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2240" w:h="15840"/>
      <w:pgMar w:top="850" w:right="994" w:bottom="1987"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PIBody">
    <w:name w:val="MDPI Body"/>
    <w:pPr>
      <w:spacing w:line="360" w:lineRule="auto" w:after="120"/>
      <w:jc w:val="both"/>
    </w:pPr>
    <w:rPr>
      <w:rFonts w:ascii="Times New Roman" w:hAnsi="Times New Roman"/>
      <w:sz w:val="24"/>
    </w:rPr>
  </w:style>
  <w:style w:type="paragraph" w:customStyle="1" w:styleId="MDPIAbstract">
    <w:name w:val="MDPI Abstract"/>
    <w:pPr>
      <w:spacing w:line="360" w:lineRule="auto" w:after="120"/>
      <w:jc w:val="both"/>
    </w:pPr>
    <w:rPr>
      <w:rFonts w:ascii="Times New Roman" w:hAnsi="Times New Roman"/>
      <w:sz w:val="24"/>
    </w:rPr>
  </w:style>
  <w:style w:type="paragraph" w:customStyle="1" w:styleId="MDPICode">
    <w:name w:val="MDPI Code"/>
    <w:pPr>
      <w:spacing w:line="240" w:lineRule="auto" w:before="120" w:after="120"/>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